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627BBA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F14BF4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- </w:t>
      </w:r>
      <w:r w:rsidR="00657BB8" w:rsidRPr="00657BB8">
        <w:rPr>
          <w:rFonts w:ascii="Times New Roman" w:hAnsi="Times New Roman"/>
          <w:b/>
          <w:sz w:val="24"/>
          <w:szCs w:val="24"/>
          <w:lang w:val="bg-BG"/>
        </w:rPr>
        <w:t>15</w:t>
      </w:r>
      <w:r w:rsidR="004350C9" w:rsidRPr="00627BBA">
        <w:rPr>
          <w:rFonts w:ascii="Times New Roman" w:hAnsi="Times New Roman"/>
          <w:b/>
          <w:sz w:val="24"/>
          <w:szCs w:val="24"/>
          <w:lang w:val="bg-BG"/>
        </w:rPr>
        <w:t>/202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>2</w:t>
      </w:r>
      <w:r w:rsidR="004350C9" w:rsidRPr="00627BB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4350C9" w:rsidRPr="00627BBA" w:rsidRDefault="004350C9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627BBA" w:rsidRDefault="005A66A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4350C9" w:rsidRPr="00627BBA" w:rsidRDefault="004350C9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627BBA" w:rsidRDefault="005A66AB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27BBA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27BBA">
        <w:rPr>
          <w:rFonts w:ascii="Times New Roman" w:hAnsi="Times New Roman"/>
          <w:sz w:val="24"/>
          <w:szCs w:val="24"/>
          <w:lang w:val="bg-BG"/>
        </w:rPr>
        <w:t>ия от възложителя и получено становище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27BBA">
        <w:rPr>
          <w:rFonts w:ascii="Times New Roman" w:hAnsi="Times New Roman"/>
          <w:sz w:val="24"/>
          <w:szCs w:val="24"/>
          <w:lang w:val="bg-BG"/>
        </w:rPr>
        <w:t>лна здравна инспекция – Хасково</w:t>
      </w:r>
    </w:p>
    <w:p w:rsidR="004350C9" w:rsidRPr="00627BBA" w:rsidRDefault="004350C9" w:rsidP="004350C9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4350C9" w:rsidRPr="00627BBA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66AB" w:rsidRPr="00627BBA" w:rsidRDefault="005A66A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9C6283" w:rsidRPr="00627BBA">
        <w:rPr>
          <w:rFonts w:ascii="Times New Roman" w:hAnsi="Times New Roman"/>
          <w:sz w:val="24"/>
          <w:szCs w:val="24"/>
          <w:lang w:val="bg-BG"/>
        </w:rPr>
        <w:t>„</w:t>
      </w:r>
      <w:r w:rsidR="008626AD" w:rsidRPr="00627BBA">
        <w:rPr>
          <w:rFonts w:ascii="Times New Roman" w:hAnsi="Times New Roman"/>
          <w:sz w:val="24"/>
          <w:szCs w:val="24"/>
          <w:lang w:val="bg-BG"/>
        </w:rPr>
        <w:t xml:space="preserve">Изработване на подробен устройствен план – изменение на план за регулация и план за застрояване за УПИ IХ, ПИ 21052.1007.107 и УПИ Х, ПИ 21052.1007.110, кв. 204, кв. </w:t>
      </w:r>
      <w:proofErr w:type="spellStart"/>
      <w:r w:rsidR="008626AD" w:rsidRPr="00627BBA">
        <w:rPr>
          <w:rFonts w:ascii="Times New Roman" w:hAnsi="Times New Roman"/>
          <w:sz w:val="24"/>
          <w:szCs w:val="24"/>
          <w:lang w:val="bg-BG"/>
        </w:rPr>
        <w:t>Марийно</w:t>
      </w:r>
      <w:proofErr w:type="spellEnd"/>
      <w:r w:rsidR="008626AD" w:rsidRPr="00627BBA">
        <w:rPr>
          <w:rFonts w:ascii="Times New Roman" w:hAnsi="Times New Roman"/>
          <w:sz w:val="24"/>
          <w:szCs w:val="24"/>
          <w:lang w:val="bg-BG"/>
        </w:rPr>
        <w:t xml:space="preserve">, гр. Димитровград, общ. Димитровград, обл. Хасково с цел изграждане на фотоволтаична електроцентрала с мощност до 1 </w:t>
      </w:r>
      <w:proofErr w:type="spellStart"/>
      <w:r w:rsidR="008626AD" w:rsidRPr="00627BBA">
        <w:rPr>
          <w:rFonts w:ascii="Times New Roman" w:hAnsi="Times New Roman"/>
          <w:sz w:val="24"/>
          <w:szCs w:val="24"/>
          <w:lang w:val="bg-BG"/>
        </w:rPr>
        <w:t>MWp</w:t>
      </w:r>
      <w:proofErr w:type="spellEnd"/>
      <w:r w:rsidR="009C6283" w:rsidRPr="00627BBA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27BBA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627BBA">
        <w:rPr>
          <w:rFonts w:ascii="Times New Roman" w:hAnsi="Times New Roman"/>
          <w:sz w:val="24"/>
          <w:szCs w:val="24"/>
          <w:lang w:val="bg-BG"/>
        </w:rPr>
        <w:t>ко</w:t>
      </w:r>
      <w:r w:rsidR="00F14BF4" w:rsidRPr="00627BBA">
        <w:rPr>
          <w:rFonts w:ascii="Times New Roman" w:hAnsi="Times New Roman"/>
          <w:sz w:val="24"/>
          <w:szCs w:val="24"/>
          <w:lang w:val="bg-BG"/>
        </w:rPr>
        <w:t>й</w:t>
      </w:r>
      <w:r w:rsidRPr="00627BBA">
        <w:rPr>
          <w:rFonts w:ascii="Times New Roman" w:hAnsi="Times New Roman"/>
          <w:sz w:val="24"/>
          <w:szCs w:val="24"/>
          <w:lang w:val="bg-BG"/>
        </w:rPr>
        <w:t>то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27BB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4350C9" w:rsidRPr="00627BBA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66AB" w:rsidRPr="00627BBA" w:rsidRDefault="005A66A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626AD" w:rsidRPr="00627BBA">
        <w:rPr>
          <w:rFonts w:ascii="Times New Roman" w:hAnsi="Times New Roman"/>
          <w:sz w:val="24"/>
          <w:szCs w:val="24"/>
          <w:lang w:val="bg-BG"/>
        </w:rPr>
        <w:t>„</w:t>
      </w:r>
      <w:r w:rsidR="008626AD" w:rsidRPr="00627BBA">
        <w:rPr>
          <w:rFonts w:ascii="Times New Roman" w:hAnsi="Times New Roman"/>
          <w:color w:val="000000"/>
          <w:sz w:val="24"/>
          <w:szCs w:val="24"/>
          <w:lang w:val="bg-BG"/>
        </w:rPr>
        <w:t>ИМОТИ СТИЛ” ЕООД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626AD" w:rsidRPr="00627BBA">
        <w:rPr>
          <w:rFonts w:ascii="Times New Roman" w:hAnsi="Times New Roman"/>
          <w:sz w:val="24"/>
          <w:szCs w:val="24"/>
          <w:lang w:val="bg-BG"/>
        </w:rPr>
        <w:t>ЕИК 205395083</w:t>
      </w:r>
    </w:p>
    <w:p w:rsidR="004350C9" w:rsidRPr="00627BBA" w:rsidRDefault="004350C9" w:rsidP="004350C9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26AD" w:rsidRPr="00627BBA">
        <w:rPr>
          <w:rFonts w:ascii="Times New Roman" w:hAnsi="Times New Roman"/>
          <w:sz w:val="24"/>
          <w:szCs w:val="24"/>
          <w:lang w:val="bg-BG"/>
        </w:rPr>
        <w:t xml:space="preserve">гр. София, район Красно село, жк „Лагера”, ул. „Евстати </w:t>
      </w:r>
      <w:proofErr w:type="spellStart"/>
      <w:r w:rsidR="008626AD" w:rsidRPr="00627BBA">
        <w:rPr>
          <w:rFonts w:ascii="Times New Roman" w:hAnsi="Times New Roman"/>
          <w:sz w:val="24"/>
          <w:szCs w:val="24"/>
          <w:lang w:val="bg-BG"/>
        </w:rPr>
        <w:t>Пелагонийски</w:t>
      </w:r>
      <w:proofErr w:type="spellEnd"/>
      <w:r w:rsidR="008626AD" w:rsidRPr="00627BBA">
        <w:rPr>
          <w:rFonts w:ascii="Times New Roman" w:hAnsi="Times New Roman"/>
          <w:sz w:val="24"/>
          <w:szCs w:val="24"/>
          <w:lang w:val="bg-BG"/>
        </w:rPr>
        <w:t>” № 55, вх. Б, ап. 25</w:t>
      </w:r>
    </w:p>
    <w:p w:rsidR="005A66AB" w:rsidRPr="00627BBA" w:rsidRDefault="005A66A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27BBA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71364E" w:rsidRPr="00627BBA" w:rsidRDefault="0071364E" w:rsidP="00DE3042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Със Заповед № РД-06-15/05.01.2022 г. на кмета на Община Димитровград е разрешено да се изработи проект за подробен устройствен план – изменение на план за регулация и план за застрояване на </w:t>
      </w:r>
      <w:r w:rsidRPr="00627BBA">
        <w:rPr>
          <w:rFonts w:ascii="Times New Roman" w:hAnsi="Times New Roman"/>
          <w:sz w:val="24"/>
          <w:lang w:val="bg-BG"/>
        </w:rPr>
        <w:t xml:space="preserve">УПИ IХ </w:t>
      </w:r>
      <w:r w:rsidRPr="00627BBA">
        <w:rPr>
          <w:rFonts w:ascii="Times New Roman" w:hAnsi="Times New Roman"/>
          <w:sz w:val="24"/>
          <w:vertAlign w:val="subscript"/>
          <w:lang w:val="bg-BG"/>
        </w:rPr>
        <w:t xml:space="preserve">за производствени и обслужващи дейности </w:t>
      </w:r>
      <w:r w:rsidRPr="00627BBA">
        <w:rPr>
          <w:rFonts w:ascii="Times New Roman" w:hAnsi="Times New Roman"/>
          <w:sz w:val="24"/>
          <w:lang w:val="bg-BG"/>
        </w:rPr>
        <w:t xml:space="preserve">и УПИ Х </w:t>
      </w:r>
      <w:r w:rsidRPr="00627BBA">
        <w:rPr>
          <w:rFonts w:ascii="Times New Roman" w:hAnsi="Times New Roman"/>
          <w:sz w:val="24"/>
          <w:vertAlign w:val="subscript"/>
          <w:lang w:val="bg-BG"/>
        </w:rPr>
        <w:t>за производствени и обслужващи дейности</w:t>
      </w:r>
      <w:r w:rsidRPr="00627BBA">
        <w:rPr>
          <w:rFonts w:ascii="Times New Roman" w:hAnsi="Times New Roman"/>
          <w:sz w:val="24"/>
          <w:lang w:val="bg-BG"/>
        </w:rPr>
        <w:t>, кв. 204, които са отразени в кадастралната карта</w:t>
      </w:r>
      <w:r w:rsidR="003E66F5" w:rsidRPr="00627BBA">
        <w:rPr>
          <w:rFonts w:ascii="Times New Roman" w:hAnsi="Times New Roman"/>
          <w:sz w:val="24"/>
          <w:lang w:val="bg-BG"/>
        </w:rPr>
        <w:t xml:space="preserve"> на гр. Димитровград</w:t>
      </w:r>
      <w:r w:rsidRPr="00627BBA">
        <w:rPr>
          <w:rFonts w:ascii="Times New Roman" w:hAnsi="Times New Roman"/>
          <w:sz w:val="24"/>
          <w:lang w:val="bg-BG"/>
        </w:rPr>
        <w:t>, като поземлени имоти с идентификатор 21052.1007.107 и 21052.1007.110</w:t>
      </w:r>
      <w:r w:rsidR="003E66F5" w:rsidRPr="00627BBA">
        <w:rPr>
          <w:rFonts w:ascii="Times New Roman" w:hAnsi="Times New Roman"/>
          <w:sz w:val="24"/>
          <w:lang w:val="bg-BG"/>
        </w:rPr>
        <w:t xml:space="preserve">. </w:t>
      </w:r>
    </w:p>
    <w:p w:rsidR="003E66F5" w:rsidRPr="00627BBA" w:rsidRDefault="003E66F5" w:rsidP="00DE3042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627BBA">
        <w:rPr>
          <w:rFonts w:ascii="Times New Roman" w:hAnsi="Times New Roman"/>
          <w:sz w:val="24"/>
          <w:lang w:val="bg-BG"/>
        </w:rPr>
        <w:t xml:space="preserve">С изменението на плана за регулация ще се обединят УПИ IХ </w:t>
      </w:r>
      <w:r w:rsidRPr="00627BBA">
        <w:rPr>
          <w:rFonts w:ascii="Times New Roman" w:hAnsi="Times New Roman"/>
          <w:sz w:val="24"/>
          <w:vertAlign w:val="subscript"/>
          <w:lang w:val="bg-BG"/>
        </w:rPr>
        <w:t xml:space="preserve">за производствени и обслужващи дейности, </w:t>
      </w:r>
      <w:r w:rsidRPr="00627BBA">
        <w:rPr>
          <w:rFonts w:ascii="Times New Roman" w:hAnsi="Times New Roman"/>
          <w:sz w:val="24"/>
          <w:lang w:val="bg-BG"/>
        </w:rPr>
        <w:t>кв.204, ПИ 21052.1007.107</w:t>
      </w:r>
      <w:r w:rsidRPr="00627BBA">
        <w:rPr>
          <w:rFonts w:ascii="Times New Roman" w:hAnsi="Times New Roman"/>
          <w:sz w:val="24"/>
          <w:vertAlign w:val="subscript"/>
          <w:lang w:val="bg-BG"/>
        </w:rPr>
        <w:t xml:space="preserve"> </w:t>
      </w:r>
      <w:r w:rsidRPr="00627BBA">
        <w:rPr>
          <w:rFonts w:ascii="Times New Roman" w:hAnsi="Times New Roman"/>
          <w:sz w:val="24"/>
          <w:lang w:val="bg-BG"/>
        </w:rPr>
        <w:t xml:space="preserve">и УПИ Х </w:t>
      </w:r>
      <w:r w:rsidRPr="00627BBA">
        <w:rPr>
          <w:rFonts w:ascii="Times New Roman" w:hAnsi="Times New Roman"/>
          <w:sz w:val="24"/>
          <w:vertAlign w:val="subscript"/>
          <w:lang w:val="bg-BG"/>
        </w:rPr>
        <w:t>за производствени и обслужващи дейности</w:t>
      </w:r>
      <w:r w:rsidR="00CD2F67" w:rsidRPr="00627BBA">
        <w:rPr>
          <w:rFonts w:ascii="Times New Roman" w:hAnsi="Times New Roman"/>
          <w:sz w:val="24"/>
          <w:lang w:val="bg-BG"/>
        </w:rPr>
        <w:t>,</w:t>
      </w:r>
      <w:r w:rsidRPr="00627BBA">
        <w:rPr>
          <w:rFonts w:ascii="Times New Roman" w:hAnsi="Times New Roman"/>
          <w:sz w:val="24"/>
          <w:lang w:val="bg-BG"/>
        </w:rPr>
        <w:t xml:space="preserve"> кв.204, ПИ 21052.1007.110, кв. „</w:t>
      </w:r>
      <w:proofErr w:type="spellStart"/>
      <w:r w:rsidRPr="00627BBA">
        <w:rPr>
          <w:rFonts w:ascii="Times New Roman" w:hAnsi="Times New Roman"/>
          <w:sz w:val="24"/>
          <w:lang w:val="bg-BG"/>
        </w:rPr>
        <w:t>Марийно</w:t>
      </w:r>
      <w:proofErr w:type="spellEnd"/>
      <w:r w:rsidRPr="00627BBA">
        <w:rPr>
          <w:rFonts w:ascii="Times New Roman" w:hAnsi="Times New Roman"/>
          <w:sz w:val="24"/>
          <w:lang w:val="bg-BG"/>
        </w:rPr>
        <w:t xml:space="preserve">”, гр. Димитровград.  За новообразувания урегулиран поземлен имот </w:t>
      </w:r>
      <w:r w:rsidR="00F55217" w:rsidRPr="00627BBA">
        <w:rPr>
          <w:rFonts w:ascii="Times New Roman" w:hAnsi="Times New Roman"/>
          <w:sz w:val="24"/>
          <w:lang w:val="bg-BG"/>
        </w:rPr>
        <w:t>ще се определи</w:t>
      </w:r>
      <w:r w:rsidRPr="00627BBA">
        <w:rPr>
          <w:rFonts w:ascii="Times New Roman" w:hAnsi="Times New Roman"/>
          <w:sz w:val="24"/>
          <w:lang w:val="bg-BG"/>
        </w:rPr>
        <w:t xml:space="preserve"> УПИ ХIV, кв.</w:t>
      </w:r>
      <w:r w:rsidR="00F55217" w:rsidRPr="00627BBA">
        <w:rPr>
          <w:rFonts w:ascii="Times New Roman" w:hAnsi="Times New Roman"/>
          <w:sz w:val="24"/>
          <w:lang w:val="bg-BG"/>
        </w:rPr>
        <w:t xml:space="preserve"> </w:t>
      </w:r>
      <w:r w:rsidRPr="00627BBA">
        <w:rPr>
          <w:rFonts w:ascii="Times New Roman" w:hAnsi="Times New Roman"/>
          <w:sz w:val="24"/>
          <w:lang w:val="bg-BG"/>
        </w:rPr>
        <w:t xml:space="preserve">204 с конкретно предназначение „за фотоволтаична централа”.  </w:t>
      </w:r>
    </w:p>
    <w:p w:rsidR="003E66F5" w:rsidRPr="00627BBA" w:rsidRDefault="003E66F5" w:rsidP="00DE3042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627BBA">
        <w:rPr>
          <w:rFonts w:ascii="Times New Roman" w:hAnsi="Times New Roman"/>
          <w:sz w:val="24"/>
          <w:lang w:val="bg-BG"/>
        </w:rPr>
        <w:t>С плана за застрояване ще се предвиди застрояване съобразено с предназначението и функ</w:t>
      </w:r>
      <w:r w:rsidR="00CD2F67" w:rsidRPr="00627BBA">
        <w:rPr>
          <w:rFonts w:ascii="Times New Roman" w:hAnsi="Times New Roman"/>
          <w:sz w:val="24"/>
          <w:lang w:val="bg-BG"/>
        </w:rPr>
        <w:t xml:space="preserve">циите на </w:t>
      </w:r>
      <w:proofErr w:type="spellStart"/>
      <w:r w:rsidR="00CD2F67" w:rsidRPr="00627BBA">
        <w:rPr>
          <w:rFonts w:ascii="Times New Roman" w:hAnsi="Times New Roman"/>
          <w:sz w:val="24"/>
          <w:lang w:val="bg-BG"/>
        </w:rPr>
        <w:t>устройствената</w:t>
      </w:r>
      <w:proofErr w:type="spellEnd"/>
      <w:r w:rsidR="00CD2F67" w:rsidRPr="00627BBA">
        <w:rPr>
          <w:rFonts w:ascii="Times New Roman" w:hAnsi="Times New Roman"/>
          <w:sz w:val="24"/>
          <w:lang w:val="bg-BG"/>
        </w:rPr>
        <w:t xml:space="preserve"> зона Пп - </w:t>
      </w:r>
      <w:r w:rsidRPr="00627BBA">
        <w:rPr>
          <w:rFonts w:ascii="Times New Roman" w:hAnsi="Times New Roman"/>
          <w:sz w:val="24"/>
          <w:lang w:val="bg-BG"/>
        </w:rPr>
        <w:t>предимно производствена зона и максимално допустимите показатели на застрояване.</w:t>
      </w:r>
    </w:p>
    <w:p w:rsidR="003E66F5" w:rsidRPr="00627BBA" w:rsidRDefault="003E66F5" w:rsidP="00DE304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lastRenderedPageBreak/>
        <w:t xml:space="preserve">С Общия устройствен план на Община Димитровград, одобрен с Решение № 793 от 01.11.2017 г. на Общински съвет Димитровград за района, в който се намират имотите е установена зона Пп – предимно производствена зона, П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. 60 %, К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инт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F55217" w:rsidRPr="00627BBA">
        <w:rPr>
          <w:rFonts w:ascii="Times New Roman" w:hAnsi="Times New Roman"/>
          <w:sz w:val="24"/>
          <w:szCs w:val="24"/>
          <w:lang w:val="bg-BG"/>
        </w:rPr>
        <w:t>м</w:t>
      </w:r>
      <w:r w:rsidRPr="00627BBA">
        <w:rPr>
          <w:rFonts w:ascii="Times New Roman" w:hAnsi="Times New Roman"/>
          <w:sz w:val="24"/>
          <w:szCs w:val="24"/>
          <w:lang w:val="bg-BG"/>
        </w:rPr>
        <w:t>акс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. 2, П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озел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>м</w:t>
      </w:r>
      <w:r w:rsidRPr="00627BBA">
        <w:rPr>
          <w:rFonts w:ascii="Times New Roman" w:hAnsi="Times New Roman"/>
          <w:sz w:val="24"/>
          <w:szCs w:val="24"/>
          <w:lang w:val="bg-BG"/>
        </w:rPr>
        <w:t>ин. 20 %. Предложените с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>ъс заданието з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а изработване на ПУП-изменение на ПР и 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>ПЗ за УПИ IX,  ПИ 21052.1007.107</w:t>
      </w:r>
      <w:r w:rsidR="00275C40" w:rsidRPr="00627BBA">
        <w:rPr>
          <w:rFonts w:ascii="Times New Roman" w:hAnsi="Times New Roman"/>
          <w:sz w:val="24"/>
          <w:szCs w:val="24"/>
          <w:lang w:val="bg-BG"/>
        </w:rPr>
        <w:t xml:space="preserve"> с площ 5237 кв. м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5217" w:rsidRPr="00627BBA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 УПИ X, ПИ 21052.1007.110</w:t>
      </w:r>
      <w:r w:rsidR="00275C40" w:rsidRPr="00627BBA">
        <w:rPr>
          <w:rFonts w:ascii="Times New Roman" w:hAnsi="Times New Roman"/>
          <w:sz w:val="24"/>
          <w:szCs w:val="24"/>
          <w:lang w:val="bg-BG"/>
        </w:rPr>
        <w:t xml:space="preserve"> с площ 8775 кв. м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, кв. 204, кв. </w:t>
      </w:r>
      <w:proofErr w:type="spellStart"/>
      <w:r w:rsidR="00F55217" w:rsidRPr="00627BBA">
        <w:rPr>
          <w:rFonts w:ascii="Times New Roman" w:hAnsi="Times New Roman"/>
          <w:sz w:val="24"/>
          <w:szCs w:val="24"/>
          <w:lang w:val="bg-BG"/>
        </w:rPr>
        <w:t>Марийно</w:t>
      </w:r>
      <w:proofErr w:type="spellEnd"/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, гр. Димитровград, </w:t>
      </w:r>
      <w:r w:rsidR="00CD2F67" w:rsidRPr="00627BBA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>предназначение и функции отговарят на предвижданията на ОУП на Община Димитровград.</w:t>
      </w:r>
    </w:p>
    <w:p w:rsidR="00F55217" w:rsidRPr="00627BBA" w:rsidRDefault="00275C40" w:rsidP="00DE304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Намеренията на възложителя са да се проектира, изгради и експлоатира инсталация за производство на електрическа енергия, чрез преобразуване и оползотворяване на възобновяемата енергия на слънцето, като се изгради фотоволтаична електроцентрала, с обща инсталирана мощност 1МWp </w:t>
      </w:r>
      <w:r w:rsidR="00DF3D2E" w:rsidRPr="00627BBA">
        <w:rPr>
          <w:rFonts w:ascii="Times New Roman" w:hAnsi="Times New Roman"/>
          <w:sz w:val="24"/>
          <w:szCs w:val="24"/>
          <w:lang w:val="bg-BG"/>
        </w:rPr>
        <w:t xml:space="preserve">върху 14 012 кв. м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в новообразувания </w:t>
      </w:r>
      <w:r w:rsidRPr="00627BBA">
        <w:rPr>
          <w:rFonts w:ascii="Times New Roman" w:hAnsi="Times New Roman"/>
          <w:sz w:val="24"/>
          <w:lang w:val="bg-BG"/>
        </w:rPr>
        <w:t>УПИ ХIV, кв. 204, гр. Димитровград.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Застрояването ще бъде съобразено с предназначението и функциите предвидени в</w:t>
      </w:r>
      <w:r w:rsidR="00CD2F67"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D2F67" w:rsidRPr="00627BBA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="00CD2F67" w:rsidRPr="00627BBA">
        <w:rPr>
          <w:rFonts w:ascii="Times New Roman" w:hAnsi="Times New Roman"/>
          <w:sz w:val="24"/>
          <w:szCs w:val="24"/>
          <w:lang w:val="bg-BG"/>
        </w:rPr>
        <w:t xml:space="preserve"> зона Пп - </w:t>
      </w:r>
      <w:r w:rsidRPr="00627BBA">
        <w:rPr>
          <w:rFonts w:ascii="Times New Roman" w:hAnsi="Times New Roman"/>
          <w:sz w:val="24"/>
          <w:szCs w:val="24"/>
          <w:lang w:val="bg-BG"/>
        </w:rPr>
        <w:t>предимно производствена зона.</w:t>
      </w:r>
    </w:p>
    <w:p w:rsidR="00DF3D2E" w:rsidRPr="00627BBA" w:rsidRDefault="00DF3D2E" w:rsidP="00DF3D2E">
      <w:pPr>
        <w:widowControl w:val="0"/>
        <w:tabs>
          <w:tab w:val="left" w:pos="540"/>
        </w:tabs>
        <w:overflowPunct/>
        <w:ind w:firstLine="540"/>
        <w:jc w:val="both"/>
        <w:textAlignment w:val="auto"/>
        <w:rPr>
          <w:rFonts w:ascii="Times New Roman" w:hAnsi="Times New Roman"/>
          <w:color w:val="0000FF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Фотоволтаичните системи са комплектни енергийни съоръжения, които включват, освен панели и редица други свързани с тях компоненти. Съществено значение за фотоволтаичните системи има тяхната ориентация към слънцето. Избраният терен е разположен в частта от страната с висока обща плътност на слънчевата мощност</w:t>
      </w:r>
      <w:r w:rsidR="00627BBA">
        <w:rPr>
          <w:rFonts w:ascii="Times New Roman" w:hAnsi="Times New Roman"/>
          <w:color w:val="0000FF"/>
          <w:sz w:val="24"/>
          <w:szCs w:val="24"/>
          <w:lang w:val="bg-BG"/>
        </w:rPr>
        <w:t>.</w:t>
      </w:r>
    </w:p>
    <w:p w:rsidR="00CD2F67" w:rsidRPr="00627BBA" w:rsidRDefault="00DF3D2E" w:rsidP="00CD2F6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Електроцентралата ще преобразува слънчевата радиация в електрическа енергия. чрез фотоволтаични модули. За постигане на инсталирана мощност 1МWp, ще бъдат монтирани близо 2000 бр. фотоволтаични модули генериращи ток с постоянно напрежение. Всеки от модулите ще бъде с мощност близо 500Wp. За повишаване на общата ефективност на електроцентралата, фотоволтаичните модули ще са свързани последователно в стрингове. Полученият от тях ток с постоянно напрежение ще се преобразува в такъв с променливо напрежение 0,40kV от 20 броя трифазни инвертори с мощност 100kW (Huawei, SUN2000 - 100KTL-М1), всеки. Променливо токовите изходи на инверторите ще бъдат обединени в уредба ниско напрежение (НН) на комплектни трансформаторни подстанции (КТП). Трансформаторните станции ще преобразуват напрежението от 0,4kV, чрез повишаващ трансформатор в напрежение 20kV и промишлена честота 50Hz. От комплектните трансформаторни подстанции 0.4/20kV чрез кабелна връзка, електроенергията ще се подава към електропреносната мрежа на електроразпределителното дружество. Към системата ще бъде свързано цифрово реле и логически контролер за следене на параметрите и производството на електроенергия от фотоволтаичната централа. </w:t>
      </w:r>
    </w:p>
    <w:p w:rsidR="00DF3D2E" w:rsidRPr="00627BBA" w:rsidRDefault="00DF3D2E" w:rsidP="00CD2F6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Фотоволтаичните модули ще бъдат монтирани върху носещи стоманени конструкции, разпределени в паралелни редове. Конструкцията ще се състои от типови маси с наклон 20° градуса. Преобразуването на ток с променливо напрежение ще се осъществява от  трифазни стрингови инвертори с номинална мощност 100,0kW, всеки. Към  инвертори се свързват стрингове с п</w:t>
      </w:r>
      <w:r w:rsidR="00CD2F67" w:rsidRPr="00627BBA">
        <w:rPr>
          <w:rFonts w:ascii="Times New Roman" w:hAnsi="Times New Roman"/>
          <w:sz w:val="24"/>
          <w:szCs w:val="24"/>
          <w:lang w:val="bg-BG"/>
        </w:rPr>
        <w:t xml:space="preserve">оследователно свързани модули.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От своя страна променливо токовите изходи на инверторите ще бъдат обединени в уредба ниско напрежение (УНН) на КТП 0.4/20kV, 1000kVA. В имотите ще се изградят необходимия (1-2) брой комплектни трансформаторни подстанции (КТП), които ще преобразуват електроенергията с трифазно напрежение 20kV и промишлена честота 50Hz. От КТП чрез кабелна връзка, преобразуваната електроенергия ще се подава към електропреносната мрежа. Уредба ниско напрежение (УНН) ще бъде снабдена с необходимата комутационна и защитна апаратура. КТП 0.4/20kV, 1000kVA ще се състои от: - Модул „вход-изход” - Модул „защита трансформатор”. Комутационната апаратура е модулна и позволява свободно разширяване от двете страни, чрез добавяне на нови шкафове при необходимост. В уредбите са предвидени всички необходими блокировки, непозволяващи погрешни комутации. В уредба Ср.Н на КТП ще бъдат монтирани релейна защита и “Цифрово реле (контролер)”, </w:t>
      </w:r>
      <w:r w:rsidRPr="00627BBA">
        <w:rPr>
          <w:rFonts w:ascii="Times New Roman" w:hAnsi="Times New Roman"/>
          <w:sz w:val="24"/>
          <w:szCs w:val="24"/>
          <w:lang w:val="bg-BG"/>
        </w:rPr>
        <w:lastRenderedPageBreak/>
        <w:t xml:space="preserve">които ще следят за отклонения на честотата на мрежата и на напрежението, както и електроенергия отдавана от фотоволтаичната централа към електроразпределителната мрежа. </w:t>
      </w:r>
    </w:p>
    <w:p w:rsidR="00DF3D2E" w:rsidRPr="00627BBA" w:rsidRDefault="00DF3D2E" w:rsidP="00DF3D2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Цифровото реле ще подава актуална информация по протокол IEC 60870-5-104 посредством контролер монтиран в табло „Мониторинг“. В БКТП 20kV ще бъде монтирано „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Мониторингово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 табло“, което ще е снабдено с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мониторингов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 контролер, рутер, UPS и програмируем логически контролер (PLC), които на свой ред ще следят производството на електроенергията от соларните инвертори и отдавана от фотоволтаичната централа към електроразпределителната мрежа.</w:t>
      </w:r>
    </w:p>
    <w:p w:rsidR="00F55217" w:rsidRPr="00627BBA" w:rsidRDefault="006D7DC7" w:rsidP="006D7D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За имотите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7BBA">
        <w:rPr>
          <w:rFonts w:ascii="Times New Roman" w:hAnsi="Times New Roman"/>
          <w:sz w:val="24"/>
          <w:szCs w:val="24"/>
          <w:lang w:val="bg-BG"/>
        </w:rPr>
        <w:t>ще се предвиди място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 за площадко</w:t>
      </w:r>
      <w:r w:rsidRPr="00627BBA">
        <w:rPr>
          <w:rFonts w:ascii="Times New Roman" w:hAnsi="Times New Roman"/>
          <w:sz w:val="24"/>
          <w:szCs w:val="24"/>
          <w:lang w:val="bg-BG"/>
        </w:rPr>
        <w:t>в енергиен обект, с необходима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 xml:space="preserve"> площ от 11 кв.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>м и сервитут по 60 кв.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5217" w:rsidRPr="00627BBA">
        <w:rPr>
          <w:rFonts w:ascii="Times New Roman" w:hAnsi="Times New Roman"/>
          <w:sz w:val="24"/>
          <w:szCs w:val="24"/>
          <w:lang w:val="bg-BG"/>
        </w:rPr>
        <w:t>м за всеки енергиен площадков обект.</w:t>
      </w:r>
    </w:p>
    <w:p w:rsidR="00F55217" w:rsidRPr="00627BBA" w:rsidRDefault="00F55217" w:rsidP="006D7D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Точката на свързване към електроразпределителната мрежа, съответстваща на мощност 1000кW</w:t>
      </w:r>
      <w:r w:rsidR="006D7DC7" w:rsidRPr="00627BBA">
        <w:rPr>
          <w:rFonts w:ascii="Times New Roman" w:hAnsi="Times New Roman"/>
          <w:sz w:val="24"/>
          <w:szCs w:val="24"/>
          <w:lang w:val="bg-BG"/>
        </w:rPr>
        <w:t xml:space="preserve"> ще бъде от р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азкъсване на съществуващ кабел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 между БКТП 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Дуветика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 и ТП Минстрой ТП/БКТП, КЛ/ВЛ, п/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 извод Димитровград, п/</w:t>
      </w:r>
      <w:proofErr w:type="spellStart"/>
      <w:r w:rsidRPr="00627BBA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627BBA">
        <w:rPr>
          <w:rFonts w:ascii="Times New Roman" w:hAnsi="Times New Roman"/>
          <w:sz w:val="24"/>
          <w:szCs w:val="24"/>
          <w:lang w:val="bg-BG"/>
        </w:rPr>
        <w:t xml:space="preserve"> Димитровград.</w:t>
      </w:r>
    </w:p>
    <w:p w:rsidR="00F55217" w:rsidRPr="00627BBA" w:rsidRDefault="00F55217" w:rsidP="00DE304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7BBA" w:rsidRDefault="00C46715" w:rsidP="00627BB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627BBA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627BBA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627BBA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627BBA" w:rsidRDefault="002654AC" w:rsidP="00627BB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="006D7DC7" w:rsidRPr="00627BBA">
        <w:rPr>
          <w:rFonts w:ascii="Times New Roman" w:hAnsi="Times New Roman"/>
          <w:sz w:val="24"/>
          <w:szCs w:val="24"/>
          <w:lang w:val="bg-BG"/>
        </w:rPr>
        <w:t xml:space="preserve">поземлени </w:t>
      </w:r>
      <w:r w:rsidRPr="00627BBA">
        <w:rPr>
          <w:rFonts w:ascii="Times New Roman" w:hAnsi="Times New Roman"/>
          <w:sz w:val="24"/>
          <w:szCs w:val="24"/>
          <w:lang w:val="bg-BG"/>
        </w:rPr>
        <w:t>имоти с идентификатор 21052.1007.107 и 21052.1007.110, урбанизирана територия с НТП „за друг вид производствен, складов обект“ по КК</w:t>
      </w:r>
      <w:r w:rsidR="006D7DC7" w:rsidRPr="00627BBA">
        <w:rPr>
          <w:rFonts w:ascii="Times New Roman" w:hAnsi="Times New Roman"/>
          <w:sz w:val="24"/>
          <w:szCs w:val="24"/>
          <w:lang w:val="bg-BG"/>
        </w:rPr>
        <w:t>КР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на гр.</w:t>
      </w:r>
      <w:r w:rsidR="006D7DC7"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Димитровград, за които се предвижда </w:t>
      </w:r>
      <w:r w:rsidR="006D7DC7" w:rsidRPr="00627BBA">
        <w:rPr>
          <w:rFonts w:ascii="Times New Roman" w:hAnsi="Times New Roman"/>
          <w:sz w:val="24"/>
          <w:szCs w:val="24"/>
          <w:lang w:val="bg-BG"/>
        </w:rPr>
        <w:t xml:space="preserve">изработване на ПУП-ИПР и ПЗ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„за фотоволтаична централа“ 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</w:t>
      </w:r>
      <w:r w:rsidR="006D7DC7" w:rsidRPr="00627BBA">
        <w:rPr>
          <w:rFonts w:ascii="Times New Roman" w:hAnsi="Times New Roman"/>
          <w:sz w:val="24"/>
          <w:szCs w:val="24"/>
          <w:lang w:val="bg-BG"/>
        </w:rPr>
        <w:t>гичната мрежа Натура 2000. Най-</w:t>
      </w:r>
      <w:r w:rsidRPr="00627BBA">
        <w:rPr>
          <w:rFonts w:ascii="Times New Roman" w:hAnsi="Times New Roman"/>
          <w:sz w:val="24"/>
          <w:szCs w:val="24"/>
          <w:lang w:val="bg-BG"/>
        </w:rPr>
        <w:t>близко до имотите (приблизително 100 м) е разположена защитена зона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BG0000578 “Река Марица” </w:t>
      </w:r>
      <w:r w:rsidRPr="00627BBA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приета от МС с Решение 122/02.03.2007 г.</w:t>
      </w:r>
    </w:p>
    <w:p w:rsidR="002654AC" w:rsidRPr="00627BBA" w:rsidRDefault="006D7DC7" w:rsidP="00627BB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Изработването на ПУП-ИПР и ПЗ за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поземлени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имоти с идентификатор 21052.1007.107 и 21052.1007.110 по КК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КР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на гр.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Димитровград попада в обхвата на чл. 2, ал. 1, т. 1 от </w:t>
      </w:r>
      <w:r w:rsidR="002654AC" w:rsidRPr="00627BB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(Наредбата за ОС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) и подлежи на процедура по оценка съвместимостта му с предмета и целите на опазване на горе цитираната защитена зона по реда на чл.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31, ал.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31, ал.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1 от Закона з</w:t>
      </w:r>
      <w:r w:rsidR="00627BBA">
        <w:rPr>
          <w:rFonts w:ascii="Times New Roman" w:hAnsi="Times New Roman"/>
          <w:sz w:val="24"/>
          <w:szCs w:val="24"/>
          <w:lang w:val="bg-BG"/>
        </w:rPr>
        <w:t>а биологичното разнообразие.</w:t>
      </w:r>
    </w:p>
    <w:p w:rsidR="00F14BF4" w:rsidRPr="00627BBA" w:rsidRDefault="00F14BF4" w:rsidP="00CC72CA">
      <w:pPr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350C9" w:rsidRPr="00627BBA" w:rsidRDefault="004350C9" w:rsidP="00A417A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E3042" w:rsidRPr="00627BBA" w:rsidRDefault="0014070F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 xml:space="preserve">Изработването на ПУП-ИПР и ПЗ за </w:t>
      </w:r>
      <w:r w:rsidR="00627BBA">
        <w:rPr>
          <w:rFonts w:ascii="Times New Roman" w:hAnsi="Times New Roman"/>
          <w:sz w:val="24"/>
          <w:szCs w:val="24"/>
        </w:rPr>
        <w:t xml:space="preserve">УПИ IX, </w:t>
      </w:r>
      <w:r w:rsidRPr="00627BBA">
        <w:rPr>
          <w:rFonts w:ascii="Times New Roman" w:hAnsi="Times New Roman"/>
          <w:sz w:val="24"/>
          <w:szCs w:val="24"/>
        </w:rPr>
        <w:t xml:space="preserve">ПИ 21052.1007.107 с площ 5237 кв. м и УПИ X, ПИ 21052.1007.110 с площ 8775 кв. м, кв. 204, кв. </w:t>
      </w:r>
      <w:proofErr w:type="spellStart"/>
      <w:r w:rsidRPr="00627BBA">
        <w:rPr>
          <w:rFonts w:ascii="Times New Roman" w:hAnsi="Times New Roman"/>
          <w:sz w:val="24"/>
          <w:szCs w:val="24"/>
        </w:rPr>
        <w:t>Марийно</w:t>
      </w:r>
      <w:proofErr w:type="spellEnd"/>
      <w:r w:rsidRPr="00627BBA">
        <w:rPr>
          <w:rFonts w:ascii="Times New Roman" w:hAnsi="Times New Roman"/>
          <w:sz w:val="24"/>
          <w:szCs w:val="24"/>
        </w:rPr>
        <w:t xml:space="preserve">, гр. Димитровград </w:t>
      </w:r>
      <w:r w:rsidR="00DE3042" w:rsidRPr="00627BBA">
        <w:rPr>
          <w:rFonts w:ascii="Times New Roman" w:hAnsi="Times New Roman"/>
          <w:sz w:val="24"/>
          <w:szCs w:val="24"/>
        </w:rPr>
        <w:t>е възложен и се разработва в съответствие с изискванията на Закона за устройство на територията</w:t>
      </w:r>
      <w:r w:rsidR="00817C8C" w:rsidRPr="00627BBA">
        <w:rPr>
          <w:sz w:val="24"/>
          <w:szCs w:val="24"/>
        </w:rPr>
        <w:t xml:space="preserve"> </w:t>
      </w:r>
      <w:r w:rsidR="00817C8C" w:rsidRPr="00627BBA">
        <w:rPr>
          <w:rFonts w:ascii="Times New Roman" w:hAnsi="Times New Roman"/>
          <w:sz w:val="24"/>
          <w:szCs w:val="24"/>
        </w:rPr>
        <w:t>и подзаконовите нормативни актове по прилагането му</w:t>
      </w:r>
      <w:r w:rsidR="00DE3042" w:rsidRPr="00627BBA">
        <w:rPr>
          <w:rFonts w:ascii="Times New Roman" w:hAnsi="Times New Roman"/>
          <w:sz w:val="24"/>
          <w:szCs w:val="24"/>
        </w:rPr>
        <w:t>.</w:t>
      </w:r>
    </w:p>
    <w:p w:rsidR="004C0D0A" w:rsidRPr="00627BBA" w:rsidRDefault="004C0D0A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 xml:space="preserve">С </w:t>
      </w:r>
      <w:r w:rsidR="006D7DC7" w:rsidRPr="00627BBA">
        <w:rPr>
          <w:rFonts w:ascii="Times New Roman" w:hAnsi="Times New Roman"/>
          <w:sz w:val="24"/>
          <w:szCs w:val="24"/>
        </w:rPr>
        <w:t xml:space="preserve">изработването на </w:t>
      </w:r>
      <w:r w:rsidRPr="00627BBA">
        <w:rPr>
          <w:rFonts w:ascii="Times New Roman" w:hAnsi="Times New Roman"/>
          <w:sz w:val="24"/>
          <w:szCs w:val="24"/>
        </w:rPr>
        <w:t xml:space="preserve">ПУП-ИПР и ПЗ се предвижда ПИ </w:t>
      </w:r>
      <w:r w:rsidR="0014070F" w:rsidRPr="00627BBA">
        <w:rPr>
          <w:rFonts w:ascii="Times New Roman" w:hAnsi="Times New Roman"/>
          <w:sz w:val="24"/>
          <w:szCs w:val="24"/>
        </w:rPr>
        <w:t xml:space="preserve">21052.1007.107 и </w:t>
      </w:r>
      <w:r w:rsidRPr="00627BBA">
        <w:rPr>
          <w:rFonts w:ascii="Times New Roman" w:hAnsi="Times New Roman"/>
          <w:sz w:val="24"/>
          <w:szCs w:val="24"/>
        </w:rPr>
        <w:t>ПИ 21052,1007.110, кв.</w:t>
      </w:r>
      <w:r w:rsidR="0014070F" w:rsidRPr="0062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BBA">
        <w:rPr>
          <w:rFonts w:ascii="Times New Roman" w:hAnsi="Times New Roman"/>
          <w:sz w:val="24"/>
          <w:szCs w:val="24"/>
        </w:rPr>
        <w:t>Марийно</w:t>
      </w:r>
      <w:proofErr w:type="spellEnd"/>
      <w:r w:rsidRPr="00627BBA">
        <w:rPr>
          <w:rFonts w:ascii="Times New Roman" w:hAnsi="Times New Roman"/>
          <w:sz w:val="24"/>
          <w:szCs w:val="24"/>
        </w:rPr>
        <w:t>, гр.</w:t>
      </w:r>
      <w:r w:rsidR="006D7DC7" w:rsidRPr="00627BBA">
        <w:rPr>
          <w:rFonts w:ascii="Times New Roman" w:hAnsi="Times New Roman"/>
          <w:sz w:val="24"/>
          <w:szCs w:val="24"/>
        </w:rPr>
        <w:t xml:space="preserve"> Димитровград, общ.</w:t>
      </w:r>
      <w:r w:rsidR="0014070F" w:rsidRPr="00627BBA">
        <w:rPr>
          <w:rFonts w:ascii="Times New Roman" w:hAnsi="Times New Roman"/>
          <w:sz w:val="24"/>
          <w:szCs w:val="24"/>
        </w:rPr>
        <w:t xml:space="preserve"> Димитровград, обл.</w:t>
      </w:r>
      <w:r w:rsidR="006D7DC7" w:rsidRPr="00627BBA">
        <w:rPr>
          <w:rFonts w:ascii="Times New Roman" w:hAnsi="Times New Roman"/>
          <w:sz w:val="24"/>
          <w:szCs w:val="24"/>
        </w:rPr>
        <w:t xml:space="preserve"> Хасково да се обединят в един имот</w:t>
      </w:r>
      <w:r w:rsidR="00B57970" w:rsidRPr="00627BBA">
        <w:rPr>
          <w:rFonts w:ascii="Times New Roman" w:hAnsi="Times New Roman"/>
          <w:sz w:val="24"/>
          <w:szCs w:val="24"/>
        </w:rPr>
        <w:t>.</w:t>
      </w:r>
      <w:r w:rsidR="006D7DC7" w:rsidRPr="00627BBA">
        <w:rPr>
          <w:rFonts w:ascii="Times New Roman" w:hAnsi="Times New Roman"/>
          <w:sz w:val="24"/>
          <w:szCs w:val="24"/>
        </w:rPr>
        <w:t xml:space="preserve"> Имотите </w:t>
      </w:r>
      <w:r w:rsidRPr="00627BBA">
        <w:rPr>
          <w:rFonts w:ascii="Times New Roman" w:hAnsi="Times New Roman"/>
          <w:sz w:val="24"/>
          <w:szCs w:val="24"/>
        </w:rPr>
        <w:t>са разположени в предимно производствен</w:t>
      </w:r>
      <w:r w:rsidR="00B57970" w:rsidRPr="00627BBA">
        <w:rPr>
          <w:rFonts w:ascii="Times New Roman" w:hAnsi="Times New Roman"/>
          <w:sz w:val="24"/>
          <w:szCs w:val="24"/>
        </w:rPr>
        <w:t>а устройствена зона и се определя</w:t>
      </w:r>
      <w:r w:rsidRPr="00627BBA">
        <w:rPr>
          <w:rFonts w:ascii="Times New Roman" w:hAnsi="Times New Roman"/>
          <w:sz w:val="24"/>
          <w:szCs w:val="24"/>
        </w:rPr>
        <w:t xml:space="preserve"> – „за пр</w:t>
      </w:r>
      <w:r w:rsidR="00B57970" w:rsidRPr="00627BBA">
        <w:rPr>
          <w:rFonts w:ascii="Times New Roman" w:hAnsi="Times New Roman"/>
          <w:sz w:val="24"/>
          <w:szCs w:val="24"/>
        </w:rPr>
        <w:t xml:space="preserve">оизводство на електроенергия”, като </w:t>
      </w:r>
      <w:r w:rsidRPr="00627BBA">
        <w:rPr>
          <w:rFonts w:ascii="Times New Roman" w:hAnsi="Times New Roman"/>
          <w:sz w:val="24"/>
          <w:szCs w:val="24"/>
        </w:rPr>
        <w:t xml:space="preserve">се осигуряват условия за производство на електроенергия от възобновяем енергиен източник на енергия. </w:t>
      </w:r>
    </w:p>
    <w:p w:rsidR="00DE3042" w:rsidRPr="00627BBA" w:rsidRDefault="0014070F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lastRenderedPageBreak/>
        <w:t xml:space="preserve">Изработването на ПУП-ИПР и ПЗ </w:t>
      </w:r>
      <w:r w:rsidR="00DE3042" w:rsidRPr="00627BBA">
        <w:rPr>
          <w:rFonts w:ascii="Times New Roman" w:hAnsi="Times New Roman"/>
          <w:sz w:val="24"/>
          <w:szCs w:val="24"/>
        </w:rPr>
        <w:t>е свързано с обособяването на обект осигуряващ условия за получаване на електрическа енергия от слънчевата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DE3042" w:rsidRPr="00627BBA" w:rsidRDefault="005A66AB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>Предвижданията на</w:t>
      </w:r>
      <w:r w:rsidR="007F51E7" w:rsidRPr="00627BBA">
        <w:rPr>
          <w:rFonts w:ascii="Times New Roman" w:hAnsi="Times New Roman"/>
          <w:sz w:val="24"/>
          <w:szCs w:val="24"/>
        </w:rPr>
        <w:t xml:space="preserve"> </w:t>
      </w:r>
      <w:r w:rsidR="004C0D0A" w:rsidRPr="00627BBA">
        <w:rPr>
          <w:rFonts w:ascii="Times New Roman" w:hAnsi="Times New Roman"/>
          <w:sz w:val="24"/>
          <w:szCs w:val="24"/>
        </w:rPr>
        <w:t xml:space="preserve">ПУП-ИПР и ПЗ </w:t>
      </w:r>
      <w:r w:rsidR="00DE3042" w:rsidRPr="00627BBA">
        <w:rPr>
          <w:rFonts w:ascii="Times New Roman" w:hAnsi="Times New Roman"/>
          <w:sz w:val="24"/>
          <w:szCs w:val="24"/>
        </w:rPr>
        <w:t xml:space="preserve">са съобразени и не влизат в противоречие с други </w:t>
      </w:r>
      <w:proofErr w:type="spellStart"/>
      <w:r w:rsidR="00DE3042" w:rsidRPr="00627BBA">
        <w:rPr>
          <w:rFonts w:ascii="Times New Roman" w:hAnsi="Times New Roman"/>
          <w:sz w:val="24"/>
          <w:szCs w:val="24"/>
        </w:rPr>
        <w:t>съотносими</w:t>
      </w:r>
      <w:proofErr w:type="spellEnd"/>
      <w:r w:rsidR="00DE3042" w:rsidRPr="00627BBA">
        <w:rPr>
          <w:rFonts w:ascii="Times New Roman" w:hAnsi="Times New Roman"/>
          <w:sz w:val="24"/>
          <w:szCs w:val="24"/>
        </w:rPr>
        <w:t xml:space="preserve"> планове и програми на национално, регионално и местно ниво. </w:t>
      </w:r>
    </w:p>
    <w:p w:rsidR="002654AC" w:rsidRPr="00627BBA" w:rsidRDefault="002654AC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>На основание чл.</w:t>
      </w:r>
      <w:r w:rsidR="00B57970" w:rsidRPr="00627BBA">
        <w:rPr>
          <w:rFonts w:ascii="Times New Roman" w:hAnsi="Times New Roman"/>
          <w:sz w:val="24"/>
          <w:szCs w:val="24"/>
        </w:rPr>
        <w:t xml:space="preserve"> </w:t>
      </w:r>
      <w:r w:rsidRPr="00627BBA">
        <w:rPr>
          <w:rFonts w:ascii="Times New Roman" w:hAnsi="Times New Roman"/>
          <w:sz w:val="24"/>
          <w:szCs w:val="24"/>
        </w:rPr>
        <w:t>37, ал.</w:t>
      </w:r>
      <w:r w:rsidR="00B57970" w:rsidRPr="00627BBA">
        <w:rPr>
          <w:rFonts w:ascii="Times New Roman" w:hAnsi="Times New Roman"/>
          <w:sz w:val="24"/>
          <w:szCs w:val="24"/>
        </w:rPr>
        <w:t xml:space="preserve"> </w:t>
      </w:r>
      <w:r w:rsidRPr="00627BBA">
        <w:rPr>
          <w:rFonts w:ascii="Times New Roman" w:hAnsi="Times New Roman"/>
          <w:sz w:val="24"/>
          <w:szCs w:val="24"/>
        </w:rPr>
        <w:t xml:space="preserve">3 от Наредбата за ОС, след преглед на представената информация, предвид характера и местоположението на </w:t>
      </w:r>
      <w:r w:rsidR="00B57970" w:rsidRPr="00627BBA">
        <w:rPr>
          <w:rFonts w:ascii="Times New Roman" w:hAnsi="Times New Roman"/>
          <w:sz w:val="24"/>
          <w:szCs w:val="24"/>
        </w:rPr>
        <w:t xml:space="preserve">ПУП-ИПР и ПЗ </w:t>
      </w:r>
      <w:r w:rsidRPr="00627BBA">
        <w:rPr>
          <w:rFonts w:ascii="Times New Roman" w:hAnsi="Times New Roman"/>
          <w:sz w:val="24"/>
          <w:szCs w:val="24"/>
        </w:rPr>
        <w:t xml:space="preserve">и въз основа на критериите по чл.16 от нея, е направена преценка на вероятната степен на отрицателно въздействие, според която същия </w:t>
      </w:r>
      <w:r w:rsidRPr="00627BBA">
        <w:rPr>
          <w:rFonts w:ascii="Times New Roman" w:hAnsi="Times New Roman"/>
          <w:b/>
          <w:sz w:val="24"/>
          <w:szCs w:val="24"/>
        </w:rPr>
        <w:t>няма вероятност</w:t>
      </w:r>
      <w:r w:rsidRPr="00627BBA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</w:t>
      </w:r>
      <w:r w:rsidR="00B57970" w:rsidRPr="00627BBA">
        <w:rPr>
          <w:rFonts w:ascii="Times New Roman" w:hAnsi="Times New Roman"/>
          <w:sz w:val="24"/>
          <w:szCs w:val="24"/>
        </w:rPr>
        <w:t>най-близко разположената</w:t>
      </w:r>
      <w:r w:rsidRPr="00627BBA">
        <w:rPr>
          <w:rFonts w:ascii="Times New Roman" w:hAnsi="Times New Roman"/>
          <w:sz w:val="24"/>
          <w:szCs w:val="24"/>
        </w:rPr>
        <w:t xml:space="preserve"> защитена зона</w:t>
      </w:r>
      <w:r w:rsidR="00B57970" w:rsidRPr="00627BBA">
        <w:t xml:space="preserve"> </w:t>
      </w:r>
      <w:r w:rsidR="00B57970" w:rsidRPr="00627BBA">
        <w:rPr>
          <w:rFonts w:ascii="Times New Roman" w:hAnsi="Times New Roman"/>
          <w:sz w:val="24"/>
          <w:szCs w:val="24"/>
        </w:rPr>
        <w:t>BG0000578 “Река Марица</w:t>
      </w:r>
      <w:r w:rsidRPr="00627BBA">
        <w:rPr>
          <w:rFonts w:ascii="Times New Roman" w:hAnsi="Times New Roman"/>
          <w:sz w:val="24"/>
          <w:szCs w:val="24"/>
        </w:rPr>
        <w:t>,</w:t>
      </w:r>
      <w:r w:rsidR="00B57970" w:rsidRPr="00627BBA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2654AC" w:rsidRPr="00627BBA" w:rsidRDefault="00627BBA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>5</w:t>
      </w:r>
      <w:r w:rsidR="00B57970" w:rsidRPr="00627BBA">
        <w:rPr>
          <w:rFonts w:ascii="Times New Roman" w:hAnsi="Times New Roman"/>
          <w:sz w:val="24"/>
          <w:szCs w:val="24"/>
          <w:lang w:val="bg-BG"/>
        </w:rPr>
        <w:t xml:space="preserve">.1.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Предвид, че имотите, предмет на </w:t>
      </w:r>
      <w:r w:rsidR="00B57970" w:rsidRPr="00627BBA">
        <w:rPr>
          <w:rFonts w:ascii="Times New Roman" w:hAnsi="Times New Roman"/>
          <w:sz w:val="24"/>
          <w:szCs w:val="24"/>
          <w:lang w:val="bg-BG"/>
        </w:rPr>
        <w:t>ПУП-ИПР и ПЗ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, не попадат в обхвата на защитени зони, в урбанизирана територия са и са с НТ</w:t>
      </w:r>
      <w:r w:rsidR="00B57970" w:rsidRPr="00627BBA">
        <w:rPr>
          <w:rFonts w:ascii="Times New Roman" w:hAnsi="Times New Roman"/>
          <w:sz w:val="24"/>
          <w:szCs w:val="24"/>
          <w:lang w:val="bg-BG"/>
        </w:rPr>
        <w:t xml:space="preserve">П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„за друг вид производств</w:t>
      </w:r>
      <w:r w:rsidRPr="00627BBA">
        <w:rPr>
          <w:rFonts w:ascii="Times New Roman" w:hAnsi="Times New Roman"/>
          <w:sz w:val="24"/>
          <w:szCs w:val="24"/>
          <w:lang w:val="bg-BG"/>
        </w:rPr>
        <w:t>ен, складов обект“, реализацият</w:t>
      </w:r>
      <w:r w:rsidR="00B57970" w:rsidRPr="00627BBA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B57970" w:rsidRPr="00627BBA">
        <w:rPr>
          <w:rFonts w:ascii="Times New Roman" w:hAnsi="Times New Roman"/>
          <w:sz w:val="24"/>
          <w:szCs w:val="24"/>
          <w:lang w:val="bg-BG"/>
        </w:rPr>
        <w:t xml:space="preserve">предвижданията на плана </w:t>
      </w:r>
      <w:r w:rsidRPr="00627BBA">
        <w:rPr>
          <w:rFonts w:ascii="Times New Roman" w:hAnsi="Times New Roman"/>
          <w:sz w:val="24"/>
          <w:szCs w:val="24"/>
          <w:lang w:val="bg-BG"/>
        </w:rPr>
        <w:t>няма да доведе до:</w:t>
      </w:r>
    </w:p>
    <w:p w:rsidR="002654AC" w:rsidRPr="00627BBA" w:rsidRDefault="00627BBA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увреждане и/или унищожаване на природни местообитания и местообитания на видове предмет на опазване в най- близко разположената защитена зона;</w:t>
      </w:r>
    </w:p>
    <w:p w:rsidR="002654AC" w:rsidRPr="00627BBA" w:rsidRDefault="00627BBA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нарушаване целостта и </w:t>
      </w:r>
      <w:proofErr w:type="spellStart"/>
      <w:r w:rsidR="002654AC" w:rsidRPr="00627BBA">
        <w:rPr>
          <w:rFonts w:ascii="Times New Roman" w:hAnsi="Times New Roman"/>
          <w:sz w:val="24"/>
          <w:szCs w:val="24"/>
          <w:lang w:val="bg-BG"/>
        </w:rPr>
        <w:t>кохерентността</w:t>
      </w:r>
      <w:proofErr w:type="spellEnd"/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 на близко разположената защитена зона, както и до увеличаване степента на фрагментация и прекъсване на </w:t>
      </w:r>
      <w:proofErr w:type="spellStart"/>
      <w:r w:rsidR="002654AC" w:rsidRPr="00627BBA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зоната </w:t>
      </w:r>
      <w:r w:rsidRPr="00627BBA">
        <w:rPr>
          <w:rFonts w:ascii="Times New Roman" w:hAnsi="Times New Roman"/>
          <w:sz w:val="24"/>
          <w:szCs w:val="24"/>
          <w:lang w:val="bg-BG"/>
        </w:rPr>
        <w:t>в сравнение с настоящия момент.</w:t>
      </w:r>
    </w:p>
    <w:p w:rsidR="002654AC" w:rsidRPr="00627BBA" w:rsidRDefault="00627BBA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5.2.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поземлените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имотите,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предмет на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настоящия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ПУП-ИПР и ПЗ реализацията на предвижданията на плана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не предполага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им. </w:t>
      </w:r>
    </w:p>
    <w:p w:rsidR="002654AC" w:rsidRPr="00627BBA" w:rsidRDefault="00627BBA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5.3.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Не се очаква 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прилагането на ПУП-ИПР и ПЗ 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>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</w:t>
      </w:r>
      <w:r w:rsidRPr="00627BBA">
        <w:rPr>
          <w:rFonts w:ascii="Times New Roman" w:hAnsi="Times New Roman"/>
          <w:sz w:val="24"/>
          <w:szCs w:val="24"/>
          <w:lang w:val="bg-BG"/>
        </w:rPr>
        <w:t>ами, проекти и/или инвестиционни</w:t>
      </w:r>
      <w:r w:rsidR="002654AC" w:rsidRPr="00627BBA">
        <w:rPr>
          <w:rFonts w:ascii="Times New Roman" w:hAnsi="Times New Roman"/>
          <w:sz w:val="24"/>
          <w:szCs w:val="24"/>
          <w:lang w:val="bg-BG"/>
        </w:rPr>
        <w:t xml:space="preserve"> предложения със сходен характер.</w:t>
      </w:r>
    </w:p>
    <w:p w:rsidR="004350C9" w:rsidRPr="00627BBA" w:rsidRDefault="000A2443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>След запознаване с предоставената информация от</w:t>
      </w:r>
      <w:r w:rsidR="004350C9" w:rsidRPr="00627BBA">
        <w:rPr>
          <w:rFonts w:ascii="Times New Roman" w:hAnsi="Times New Roman"/>
          <w:sz w:val="24"/>
          <w:szCs w:val="24"/>
        </w:rPr>
        <w:t xml:space="preserve"> </w:t>
      </w:r>
      <w:r w:rsidR="0022290D" w:rsidRPr="00627BBA">
        <w:rPr>
          <w:rFonts w:ascii="Times New Roman" w:hAnsi="Times New Roman"/>
          <w:sz w:val="24"/>
          <w:szCs w:val="24"/>
        </w:rPr>
        <w:t>РЗИ –</w:t>
      </w:r>
      <w:r w:rsidRPr="00627BBA">
        <w:rPr>
          <w:rFonts w:ascii="Times New Roman" w:hAnsi="Times New Roman"/>
          <w:sz w:val="24"/>
          <w:szCs w:val="24"/>
        </w:rPr>
        <w:t xml:space="preserve"> Хасково уведомяват със  становище</w:t>
      </w:r>
      <w:r w:rsidR="002654AC" w:rsidRPr="00627BBA">
        <w:rPr>
          <w:rFonts w:ascii="Times New Roman" w:hAnsi="Times New Roman"/>
          <w:sz w:val="24"/>
          <w:szCs w:val="24"/>
        </w:rPr>
        <w:t xml:space="preserve"> с изх. № 10-01-7#1/24</w:t>
      </w:r>
      <w:r w:rsidR="004350C9" w:rsidRPr="00627BBA">
        <w:rPr>
          <w:rFonts w:ascii="Times New Roman" w:hAnsi="Times New Roman"/>
          <w:sz w:val="24"/>
          <w:szCs w:val="24"/>
        </w:rPr>
        <w:t>.</w:t>
      </w:r>
      <w:r w:rsidRPr="00627BBA">
        <w:rPr>
          <w:rFonts w:ascii="Times New Roman" w:hAnsi="Times New Roman"/>
          <w:sz w:val="24"/>
          <w:szCs w:val="24"/>
        </w:rPr>
        <w:t>0</w:t>
      </w:r>
      <w:r w:rsidR="007F51E7" w:rsidRPr="00627BBA">
        <w:rPr>
          <w:rFonts w:ascii="Times New Roman" w:hAnsi="Times New Roman"/>
          <w:sz w:val="24"/>
          <w:szCs w:val="24"/>
        </w:rPr>
        <w:t>1</w:t>
      </w:r>
      <w:r w:rsidRPr="00627BBA">
        <w:rPr>
          <w:rFonts w:ascii="Times New Roman" w:hAnsi="Times New Roman"/>
          <w:sz w:val="24"/>
          <w:szCs w:val="24"/>
        </w:rPr>
        <w:t xml:space="preserve">.2022 г., </w:t>
      </w:r>
      <w:r w:rsidR="00991FAF" w:rsidRPr="00627BBA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4350C9" w:rsidRPr="00627BBA" w:rsidRDefault="004350C9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 xml:space="preserve">Реализирането на предвижданията на </w:t>
      </w:r>
      <w:r w:rsidR="00627BBA" w:rsidRPr="00627BBA">
        <w:rPr>
          <w:rFonts w:ascii="Times New Roman" w:hAnsi="Times New Roman"/>
          <w:sz w:val="24"/>
          <w:szCs w:val="24"/>
        </w:rPr>
        <w:t xml:space="preserve">ПУП-ИПР и ПЗ </w:t>
      </w:r>
      <w:r w:rsidRPr="00627BBA">
        <w:rPr>
          <w:rFonts w:ascii="Times New Roman" w:hAnsi="Times New Roman"/>
          <w:sz w:val="24"/>
          <w:szCs w:val="24"/>
        </w:rPr>
        <w:t>не е свързано трансгранично въздействие върху околната среда.</w:t>
      </w:r>
    </w:p>
    <w:p w:rsidR="004350C9" w:rsidRPr="00627BBA" w:rsidRDefault="004350C9" w:rsidP="00627BBA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350C9" w:rsidRPr="00627BBA" w:rsidRDefault="004350C9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4376" w:rsidRPr="00627BBA" w:rsidRDefault="002D4376" w:rsidP="00627BBA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27BBA" w:rsidRDefault="004350C9" w:rsidP="004350C9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4350C9" w:rsidRPr="00627BBA" w:rsidRDefault="00286D63" w:rsidP="004350C9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27BBA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2B447A" w:rsidRPr="00627BBA">
        <w:rPr>
          <w:rFonts w:ascii="Times New Roman" w:hAnsi="Times New Roman"/>
          <w:b/>
          <w:sz w:val="24"/>
          <w:szCs w:val="24"/>
          <w:lang w:val="bg-BG"/>
        </w:rPr>
        <w:t>/проект</w:t>
      </w:r>
      <w:r w:rsidR="004350C9" w:rsidRPr="00627BBA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5A66AB" w:rsidRPr="00627BBA" w:rsidRDefault="005A66AB" w:rsidP="002D4376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CF047E" w:rsidP="00A417A4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27BB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350C9" w:rsidRPr="00627BBA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17A4" w:rsidRPr="00627BBA" w:rsidRDefault="00A417A4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0A86" w:rsidRPr="00627BBA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0A86" w:rsidRPr="00627BBA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84739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4350C9" w:rsidRPr="00627BBA" w:rsidRDefault="004350C9" w:rsidP="004350C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27BB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4350C9" w:rsidRPr="00627BBA" w:rsidRDefault="004350C9" w:rsidP="004350C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27BBA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D459EB" w:rsidRPr="00627BBA" w:rsidRDefault="00D459EB" w:rsidP="00D459EB">
      <w:pPr>
        <w:jc w:val="both"/>
        <w:rPr>
          <w:rFonts w:ascii="Times New Roman" w:hAnsi="Times New Roman"/>
          <w:lang w:val="bg-BG"/>
        </w:rPr>
      </w:pPr>
    </w:p>
    <w:p w:rsidR="00A417A4" w:rsidRPr="00627BBA" w:rsidRDefault="00A417A4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654AC" w:rsidRPr="00627BBA">
        <w:rPr>
          <w:rFonts w:ascii="Times New Roman" w:hAnsi="Times New Roman"/>
          <w:b/>
          <w:sz w:val="24"/>
          <w:szCs w:val="24"/>
          <w:lang w:val="bg-BG"/>
        </w:rPr>
        <w:t>04</w:t>
      </w:r>
      <w:r w:rsidR="000A2443" w:rsidRPr="00627BBA">
        <w:rPr>
          <w:rFonts w:ascii="Times New Roman" w:hAnsi="Times New Roman"/>
          <w:b/>
          <w:sz w:val="24"/>
          <w:szCs w:val="24"/>
          <w:lang w:val="bg-BG"/>
        </w:rPr>
        <w:t>.0</w:t>
      </w:r>
      <w:r w:rsidR="002654AC" w:rsidRPr="00627BBA">
        <w:rPr>
          <w:rFonts w:ascii="Times New Roman" w:hAnsi="Times New Roman"/>
          <w:b/>
          <w:sz w:val="24"/>
          <w:szCs w:val="24"/>
          <w:lang w:val="bg-BG"/>
        </w:rPr>
        <w:t>3</w:t>
      </w:r>
      <w:r w:rsidR="000A2443" w:rsidRPr="00627BBA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4350C9" w:rsidRPr="00627BBA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1D" w:rsidRDefault="00F3131D">
      <w:r>
        <w:separator/>
      </w:r>
    </w:p>
  </w:endnote>
  <w:endnote w:type="continuationSeparator" w:id="0">
    <w:p w:rsidR="00F3131D" w:rsidRDefault="00F3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96" w:rsidRPr="00847396">
          <w:rPr>
            <w:noProof/>
            <w:lang w:val="bg-BG"/>
          </w:rPr>
          <w:t>5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F3131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1D" w:rsidRDefault="00F3131D">
      <w:r>
        <w:separator/>
      </w:r>
    </w:p>
  </w:footnote>
  <w:footnote w:type="continuationSeparator" w:id="0">
    <w:p w:rsidR="00F3131D" w:rsidRDefault="00F3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CFB"/>
    <w:multiLevelType w:val="hybridMultilevel"/>
    <w:tmpl w:val="DDD61A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0621"/>
    <w:multiLevelType w:val="hybridMultilevel"/>
    <w:tmpl w:val="AD7E2D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0118C"/>
    <w:multiLevelType w:val="hybridMultilevel"/>
    <w:tmpl w:val="2C96DF6A"/>
    <w:lvl w:ilvl="0" w:tplc="4F306C96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2F6163FB"/>
    <w:multiLevelType w:val="hybridMultilevel"/>
    <w:tmpl w:val="B79C8394"/>
    <w:lvl w:ilvl="0" w:tplc="1720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60499C"/>
    <w:multiLevelType w:val="hybridMultilevel"/>
    <w:tmpl w:val="55842062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8">
    <w:nsid w:val="48E41110"/>
    <w:multiLevelType w:val="hybridMultilevel"/>
    <w:tmpl w:val="76620E60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27402E3C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8298E"/>
    <w:multiLevelType w:val="hybridMultilevel"/>
    <w:tmpl w:val="DAFEBAE8"/>
    <w:lvl w:ilvl="0" w:tplc="0402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>
    <w:nsid w:val="5E8E318D"/>
    <w:multiLevelType w:val="hybridMultilevel"/>
    <w:tmpl w:val="CAAA913A"/>
    <w:lvl w:ilvl="0" w:tplc="4F306C96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66C90478"/>
    <w:multiLevelType w:val="hybridMultilevel"/>
    <w:tmpl w:val="BB621E32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D26275B4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67C657AB"/>
    <w:multiLevelType w:val="hybridMultilevel"/>
    <w:tmpl w:val="1D162B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77DFF"/>
    <w:multiLevelType w:val="hybridMultilevel"/>
    <w:tmpl w:val="5A32A706"/>
    <w:lvl w:ilvl="0" w:tplc="3A32F6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6BDB6F7E"/>
    <w:multiLevelType w:val="hybridMultilevel"/>
    <w:tmpl w:val="0AB29E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7032F"/>
    <w:multiLevelType w:val="hybridMultilevel"/>
    <w:tmpl w:val="A13E75BA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75BC72FC"/>
    <w:multiLevelType w:val="hybridMultilevel"/>
    <w:tmpl w:val="ECA6410C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18">
    <w:nsid w:val="7BAE1237"/>
    <w:multiLevelType w:val="hybridMultilevel"/>
    <w:tmpl w:val="96A4A488"/>
    <w:lvl w:ilvl="0" w:tplc="8ECA7220">
      <w:numFmt w:val="bullet"/>
      <w:lvlText w:val="-"/>
      <w:lvlJc w:val="left"/>
      <w:pPr>
        <w:ind w:left="1438" w:hanging="43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6"/>
  </w:num>
  <w:num w:numId="5">
    <w:abstractNumId w:val="14"/>
  </w:num>
  <w:num w:numId="6">
    <w:abstractNumId w:val="11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1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76D8"/>
    <w:rsid w:val="00031726"/>
    <w:rsid w:val="000342B1"/>
    <w:rsid w:val="00034424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0A2443"/>
    <w:rsid w:val="001073F0"/>
    <w:rsid w:val="00110A87"/>
    <w:rsid w:val="00137B08"/>
    <w:rsid w:val="0014070F"/>
    <w:rsid w:val="00142B7C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4BA5"/>
    <w:rsid w:val="001C5499"/>
    <w:rsid w:val="001C5702"/>
    <w:rsid w:val="001C6176"/>
    <w:rsid w:val="001C6903"/>
    <w:rsid w:val="001D37FB"/>
    <w:rsid w:val="001E10FE"/>
    <w:rsid w:val="001E25CF"/>
    <w:rsid w:val="001E55F5"/>
    <w:rsid w:val="00202BA8"/>
    <w:rsid w:val="0020512A"/>
    <w:rsid w:val="0020653E"/>
    <w:rsid w:val="00221338"/>
    <w:rsid w:val="00221BF5"/>
    <w:rsid w:val="0022290D"/>
    <w:rsid w:val="002273FE"/>
    <w:rsid w:val="00233451"/>
    <w:rsid w:val="0024120B"/>
    <w:rsid w:val="00251529"/>
    <w:rsid w:val="002619AC"/>
    <w:rsid w:val="002654AC"/>
    <w:rsid w:val="002663AA"/>
    <w:rsid w:val="00266D04"/>
    <w:rsid w:val="00270F2A"/>
    <w:rsid w:val="00275C40"/>
    <w:rsid w:val="00286D63"/>
    <w:rsid w:val="002932AB"/>
    <w:rsid w:val="00293AAD"/>
    <w:rsid w:val="002976D4"/>
    <w:rsid w:val="002A2BEC"/>
    <w:rsid w:val="002A443A"/>
    <w:rsid w:val="002B447A"/>
    <w:rsid w:val="002B670D"/>
    <w:rsid w:val="002B7809"/>
    <w:rsid w:val="002C2AAD"/>
    <w:rsid w:val="002D4376"/>
    <w:rsid w:val="002E0586"/>
    <w:rsid w:val="002E25EF"/>
    <w:rsid w:val="002F0C38"/>
    <w:rsid w:val="002F43DC"/>
    <w:rsid w:val="00300430"/>
    <w:rsid w:val="00304041"/>
    <w:rsid w:val="0031305B"/>
    <w:rsid w:val="00324274"/>
    <w:rsid w:val="00335ECB"/>
    <w:rsid w:val="00340466"/>
    <w:rsid w:val="00342688"/>
    <w:rsid w:val="00352F4E"/>
    <w:rsid w:val="003568BF"/>
    <w:rsid w:val="00374C35"/>
    <w:rsid w:val="003A3E07"/>
    <w:rsid w:val="003B15A7"/>
    <w:rsid w:val="003C53E8"/>
    <w:rsid w:val="003D64E0"/>
    <w:rsid w:val="003E66F5"/>
    <w:rsid w:val="003E7F99"/>
    <w:rsid w:val="0040427F"/>
    <w:rsid w:val="00407BDD"/>
    <w:rsid w:val="004137E6"/>
    <w:rsid w:val="004174F6"/>
    <w:rsid w:val="004350C9"/>
    <w:rsid w:val="00440511"/>
    <w:rsid w:val="00446795"/>
    <w:rsid w:val="00446FB7"/>
    <w:rsid w:val="0046122A"/>
    <w:rsid w:val="004744CA"/>
    <w:rsid w:val="00476FA9"/>
    <w:rsid w:val="004C00AF"/>
    <w:rsid w:val="004C0D0A"/>
    <w:rsid w:val="004C3144"/>
    <w:rsid w:val="004C491C"/>
    <w:rsid w:val="004D1054"/>
    <w:rsid w:val="004D3EFF"/>
    <w:rsid w:val="004F04D9"/>
    <w:rsid w:val="004F1B64"/>
    <w:rsid w:val="004F262A"/>
    <w:rsid w:val="004F2E2E"/>
    <w:rsid w:val="004F765C"/>
    <w:rsid w:val="00504B7F"/>
    <w:rsid w:val="00505DE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67AA0"/>
    <w:rsid w:val="0057056E"/>
    <w:rsid w:val="00571A9B"/>
    <w:rsid w:val="00575C85"/>
    <w:rsid w:val="00581F83"/>
    <w:rsid w:val="00595361"/>
    <w:rsid w:val="005959B2"/>
    <w:rsid w:val="005A2999"/>
    <w:rsid w:val="005A3B17"/>
    <w:rsid w:val="005A4908"/>
    <w:rsid w:val="005A66AB"/>
    <w:rsid w:val="005B69F7"/>
    <w:rsid w:val="005B7F47"/>
    <w:rsid w:val="005C058E"/>
    <w:rsid w:val="005D7788"/>
    <w:rsid w:val="005F34F9"/>
    <w:rsid w:val="0060059D"/>
    <w:rsid w:val="00601871"/>
    <w:rsid w:val="00601D2F"/>
    <w:rsid w:val="00602A0B"/>
    <w:rsid w:val="006039E5"/>
    <w:rsid w:val="00611F20"/>
    <w:rsid w:val="00612441"/>
    <w:rsid w:val="006134DB"/>
    <w:rsid w:val="006171EB"/>
    <w:rsid w:val="00627BBA"/>
    <w:rsid w:val="006340C8"/>
    <w:rsid w:val="0064092B"/>
    <w:rsid w:val="0064168A"/>
    <w:rsid w:val="00643C98"/>
    <w:rsid w:val="00654471"/>
    <w:rsid w:val="00657BB8"/>
    <w:rsid w:val="00661C46"/>
    <w:rsid w:val="0067078F"/>
    <w:rsid w:val="006816CA"/>
    <w:rsid w:val="006A6644"/>
    <w:rsid w:val="006B0B9A"/>
    <w:rsid w:val="006B25DC"/>
    <w:rsid w:val="006C38D7"/>
    <w:rsid w:val="006D21A3"/>
    <w:rsid w:val="006D7DC7"/>
    <w:rsid w:val="006E1608"/>
    <w:rsid w:val="007009B6"/>
    <w:rsid w:val="00701967"/>
    <w:rsid w:val="0071364E"/>
    <w:rsid w:val="0072234E"/>
    <w:rsid w:val="00731CCD"/>
    <w:rsid w:val="00735898"/>
    <w:rsid w:val="00742897"/>
    <w:rsid w:val="0074472F"/>
    <w:rsid w:val="007719EF"/>
    <w:rsid w:val="00777D6C"/>
    <w:rsid w:val="007A23B0"/>
    <w:rsid w:val="007A4EAF"/>
    <w:rsid w:val="007A6290"/>
    <w:rsid w:val="007B3825"/>
    <w:rsid w:val="007B417C"/>
    <w:rsid w:val="007B44A2"/>
    <w:rsid w:val="007D21EF"/>
    <w:rsid w:val="007E17CE"/>
    <w:rsid w:val="007E21F8"/>
    <w:rsid w:val="007E7EE4"/>
    <w:rsid w:val="007F0A86"/>
    <w:rsid w:val="007F51E7"/>
    <w:rsid w:val="00817C8C"/>
    <w:rsid w:val="008403F9"/>
    <w:rsid w:val="00842F0C"/>
    <w:rsid w:val="008456DB"/>
    <w:rsid w:val="00847396"/>
    <w:rsid w:val="00852478"/>
    <w:rsid w:val="0085348A"/>
    <w:rsid w:val="00854378"/>
    <w:rsid w:val="00857AC0"/>
    <w:rsid w:val="008625DB"/>
    <w:rsid w:val="008626AD"/>
    <w:rsid w:val="00870F88"/>
    <w:rsid w:val="008719BB"/>
    <w:rsid w:val="00892294"/>
    <w:rsid w:val="0089242E"/>
    <w:rsid w:val="008A098F"/>
    <w:rsid w:val="008A0ADC"/>
    <w:rsid w:val="008A2513"/>
    <w:rsid w:val="008B0206"/>
    <w:rsid w:val="008B1300"/>
    <w:rsid w:val="008B3AF3"/>
    <w:rsid w:val="008C48AD"/>
    <w:rsid w:val="008D73F7"/>
    <w:rsid w:val="008F49B1"/>
    <w:rsid w:val="00932D02"/>
    <w:rsid w:val="00936425"/>
    <w:rsid w:val="009373B6"/>
    <w:rsid w:val="00946775"/>
    <w:rsid w:val="00946D85"/>
    <w:rsid w:val="00951267"/>
    <w:rsid w:val="00973C05"/>
    <w:rsid w:val="00974296"/>
    <w:rsid w:val="00974546"/>
    <w:rsid w:val="00983828"/>
    <w:rsid w:val="00985BB4"/>
    <w:rsid w:val="009906F9"/>
    <w:rsid w:val="00991FAF"/>
    <w:rsid w:val="00995F09"/>
    <w:rsid w:val="00997E13"/>
    <w:rsid w:val="009A32CC"/>
    <w:rsid w:val="009A49E5"/>
    <w:rsid w:val="009A674D"/>
    <w:rsid w:val="009C28A8"/>
    <w:rsid w:val="009C6283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417A4"/>
    <w:rsid w:val="00A5331E"/>
    <w:rsid w:val="00A7322F"/>
    <w:rsid w:val="00A75474"/>
    <w:rsid w:val="00A77E66"/>
    <w:rsid w:val="00A82864"/>
    <w:rsid w:val="00A83E8B"/>
    <w:rsid w:val="00A930D5"/>
    <w:rsid w:val="00AB142B"/>
    <w:rsid w:val="00AC0183"/>
    <w:rsid w:val="00AD0109"/>
    <w:rsid w:val="00AD13E8"/>
    <w:rsid w:val="00AF3266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57970"/>
    <w:rsid w:val="00B76562"/>
    <w:rsid w:val="00B80F1E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7565"/>
    <w:rsid w:val="00C46715"/>
    <w:rsid w:val="00C473A4"/>
    <w:rsid w:val="00C73DF1"/>
    <w:rsid w:val="00C76288"/>
    <w:rsid w:val="00C82901"/>
    <w:rsid w:val="00C879EB"/>
    <w:rsid w:val="00C87C59"/>
    <w:rsid w:val="00C91DFF"/>
    <w:rsid w:val="00C9282E"/>
    <w:rsid w:val="00CA0AA5"/>
    <w:rsid w:val="00CA2855"/>
    <w:rsid w:val="00CA3258"/>
    <w:rsid w:val="00CA7A14"/>
    <w:rsid w:val="00CB0BF9"/>
    <w:rsid w:val="00CC72CA"/>
    <w:rsid w:val="00CD151E"/>
    <w:rsid w:val="00CD1F33"/>
    <w:rsid w:val="00CD2F67"/>
    <w:rsid w:val="00CF047E"/>
    <w:rsid w:val="00CF1368"/>
    <w:rsid w:val="00CF70B8"/>
    <w:rsid w:val="00D03B87"/>
    <w:rsid w:val="00D14B6C"/>
    <w:rsid w:val="00D228BB"/>
    <w:rsid w:val="00D259F5"/>
    <w:rsid w:val="00D450FA"/>
    <w:rsid w:val="00D459EB"/>
    <w:rsid w:val="00D530CC"/>
    <w:rsid w:val="00D533BE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C2310"/>
    <w:rsid w:val="00DC4365"/>
    <w:rsid w:val="00DE3042"/>
    <w:rsid w:val="00DE388D"/>
    <w:rsid w:val="00DE432A"/>
    <w:rsid w:val="00DF3D2E"/>
    <w:rsid w:val="00DF6A09"/>
    <w:rsid w:val="00E10E55"/>
    <w:rsid w:val="00E15B5B"/>
    <w:rsid w:val="00E17B00"/>
    <w:rsid w:val="00E17B16"/>
    <w:rsid w:val="00E344E2"/>
    <w:rsid w:val="00E46C1A"/>
    <w:rsid w:val="00E5179C"/>
    <w:rsid w:val="00E67838"/>
    <w:rsid w:val="00E74367"/>
    <w:rsid w:val="00E7682A"/>
    <w:rsid w:val="00E80382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10F96"/>
    <w:rsid w:val="00F14BF4"/>
    <w:rsid w:val="00F3043C"/>
    <w:rsid w:val="00F3131D"/>
    <w:rsid w:val="00F363CE"/>
    <w:rsid w:val="00F42812"/>
    <w:rsid w:val="00F477AE"/>
    <w:rsid w:val="00F53B5F"/>
    <w:rsid w:val="00F55217"/>
    <w:rsid w:val="00F72CF1"/>
    <w:rsid w:val="00FA2004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E62C-932F-41A3-A595-EC713ADE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13433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38</cp:revision>
  <cp:lastPrinted>2022-03-04T09:17:00Z</cp:lastPrinted>
  <dcterms:created xsi:type="dcterms:W3CDTF">2021-11-11T09:41:00Z</dcterms:created>
  <dcterms:modified xsi:type="dcterms:W3CDTF">2023-10-20T10:56:00Z</dcterms:modified>
</cp:coreProperties>
</file>