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BB" w:rsidRPr="003B7027" w:rsidRDefault="00DD6FBB" w:rsidP="00DD6FBB">
      <w:pPr>
        <w:jc w:val="right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>ниво на класификация:</w:t>
      </w:r>
    </w:p>
    <w:p w:rsidR="004350C9" w:rsidRPr="003B7027" w:rsidRDefault="00DD6FBB" w:rsidP="00DD6FBB">
      <w:pPr>
        <w:jc w:val="right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</w:r>
      <w:r w:rsidRPr="003B7027">
        <w:rPr>
          <w:rFonts w:ascii="Times New Roman" w:hAnsi="Times New Roman"/>
          <w:sz w:val="24"/>
          <w:szCs w:val="24"/>
          <w:lang w:val="bg-BG"/>
        </w:rPr>
        <w:tab/>
        <w:t>TLP – WHITE</w:t>
      </w:r>
    </w:p>
    <w:p w:rsidR="00E21F6D" w:rsidRPr="003B7027" w:rsidRDefault="00E21F6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3B7027" w:rsidRDefault="00F14BF4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3B702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86950">
        <w:rPr>
          <w:rFonts w:ascii="Times New Roman" w:hAnsi="Times New Roman"/>
          <w:b/>
          <w:sz w:val="24"/>
          <w:szCs w:val="24"/>
          <w:lang w:val="bg-BG"/>
        </w:rPr>
        <w:t>50</w:t>
      </w:r>
      <w:r w:rsidR="004350C9" w:rsidRPr="003B7027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3B7027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3B702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3B7027" w:rsidRDefault="006347E3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3B7027" w:rsidRDefault="0011016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3B7027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3B7027" w:rsidRDefault="0011016B" w:rsidP="00DD6FB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3B7027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3B7027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3B7027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3B7027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3B7027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3B7027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3B7027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3B7027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3B7027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3B7027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3B7027">
        <w:rPr>
          <w:rFonts w:ascii="Times New Roman" w:hAnsi="Times New Roman"/>
          <w:sz w:val="24"/>
          <w:szCs w:val="24"/>
          <w:lang w:val="bg-BG"/>
        </w:rPr>
        <w:t>е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3B7027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0827AE" w:rsidRPr="003B7027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306560" w:rsidRPr="003B7027" w:rsidRDefault="00306560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3B7027" w:rsidRDefault="00A1425B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3B7027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Pr="003B7027" w:rsidRDefault="0011016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3B7027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3B7027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B7027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3B7027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5F65E2" w:rsidRPr="003B7027">
        <w:rPr>
          <w:rFonts w:ascii="Times New Roman" w:hAnsi="Times New Roman"/>
          <w:sz w:val="24"/>
          <w:szCs w:val="24"/>
          <w:lang w:val="bg-BG"/>
        </w:rPr>
        <w:t>„</w:t>
      </w:r>
      <w:r w:rsidR="003C5B94" w:rsidRPr="003C5B94">
        <w:rPr>
          <w:rFonts w:ascii="Times New Roman" w:hAnsi="Times New Roman"/>
          <w:sz w:val="24"/>
          <w:szCs w:val="24"/>
          <w:lang w:val="bg-BG"/>
        </w:rPr>
        <w:t xml:space="preserve">Изработване на изменение на подробен устройствен план – план за застрояване на поземлен имот с идентификатор 77181.1.500 по КККР на гр. Харманли, общ. Харманли, обл. Хасково с цел изграждане на фотоволтаична електроцентрала с мощност до </w:t>
      </w:r>
      <w:r w:rsidR="003C5B94">
        <w:rPr>
          <w:rFonts w:ascii="Times New Roman" w:hAnsi="Times New Roman"/>
          <w:sz w:val="24"/>
          <w:szCs w:val="24"/>
          <w:lang w:val="bg-BG"/>
        </w:rPr>
        <w:t>1</w:t>
      </w:r>
      <w:r w:rsidR="003C5B94">
        <w:rPr>
          <w:rFonts w:ascii="Times New Roman" w:hAnsi="Times New Roman"/>
          <w:sz w:val="24"/>
          <w:szCs w:val="24"/>
        </w:rPr>
        <w:t xml:space="preserve"> M</w:t>
      </w:r>
      <w:r w:rsidR="003C5B94" w:rsidRPr="003C5B94">
        <w:rPr>
          <w:rFonts w:ascii="Times New Roman" w:hAnsi="Times New Roman"/>
          <w:sz w:val="24"/>
          <w:szCs w:val="24"/>
          <w:lang w:val="bg-BG"/>
        </w:rPr>
        <w:t>W</w:t>
      </w:r>
      <w:r w:rsidR="007525FA" w:rsidRPr="003B7027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3B702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3B7027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3B7027">
        <w:rPr>
          <w:rFonts w:ascii="Times New Roman" w:hAnsi="Times New Roman"/>
          <w:sz w:val="24"/>
          <w:szCs w:val="24"/>
          <w:lang w:val="bg-BG"/>
        </w:rPr>
        <w:t>ко</w:t>
      </w:r>
      <w:r w:rsidR="00CD0EE6" w:rsidRPr="003B7027">
        <w:rPr>
          <w:rFonts w:ascii="Times New Roman" w:hAnsi="Times New Roman"/>
          <w:sz w:val="24"/>
          <w:szCs w:val="24"/>
          <w:lang w:val="bg-BG"/>
        </w:rPr>
        <w:t>й</w:t>
      </w:r>
      <w:r w:rsidRPr="003B7027">
        <w:rPr>
          <w:rFonts w:ascii="Times New Roman" w:hAnsi="Times New Roman"/>
          <w:sz w:val="24"/>
          <w:szCs w:val="24"/>
          <w:lang w:val="bg-BG"/>
        </w:rPr>
        <w:t>то</w:t>
      </w:r>
      <w:r w:rsidRPr="003B7027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3B7027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3B702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3B7027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3B7027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79B" w:rsidRPr="003B7027" w:rsidRDefault="00FE779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3B7027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827AE" w:rsidRPr="003B7027" w:rsidRDefault="004350C9" w:rsidP="00BD0264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3B7027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3B702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C5B94" w:rsidRPr="003C5B94">
        <w:rPr>
          <w:rFonts w:ascii="Times New Roman" w:hAnsi="Times New Roman"/>
          <w:sz w:val="24"/>
          <w:szCs w:val="24"/>
          <w:lang w:val="bg-BG"/>
        </w:rPr>
        <w:t>„ТИЯ ЛОГИСТИК“ ЕООД</w:t>
      </w:r>
    </w:p>
    <w:p w:rsidR="00A1425B" w:rsidRPr="003B7027" w:rsidRDefault="000827AE" w:rsidP="000827A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C5B94" w:rsidRPr="003C5B94">
        <w:rPr>
          <w:rFonts w:ascii="Times New Roman" w:hAnsi="Times New Roman"/>
          <w:sz w:val="24"/>
          <w:szCs w:val="24"/>
          <w:lang w:val="bg-BG"/>
        </w:rPr>
        <w:t>гр. Харманли, ул. „Братя Миладинови“ № 32</w:t>
      </w:r>
    </w:p>
    <w:p w:rsidR="00BD0264" w:rsidRPr="003B7027" w:rsidRDefault="00BD0264" w:rsidP="00DD6FB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827AE" w:rsidRPr="003B7027" w:rsidRDefault="000827AE" w:rsidP="00DD6FB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3B7027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3B7027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3B7027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0827AE" w:rsidRDefault="000827AE" w:rsidP="000827A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информация/документация става ясно, че се предвижда изработване на </w:t>
      </w:r>
      <w:r w:rsidR="003C5B94" w:rsidRPr="003C5B94">
        <w:rPr>
          <w:rFonts w:ascii="Times New Roman" w:hAnsi="Times New Roman"/>
          <w:sz w:val="24"/>
          <w:szCs w:val="24"/>
          <w:lang w:val="bg-BG"/>
        </w:rPr>
        <w:t>изменение на подробен устройствен план – план за застрояване на поземлен имот с идентификатор 77181.1.500 по КККР на гр. Харманли, общ. Харманли, обл. Хасково с цел изграждане на фотоволтаична ел</w:t>
      </w:r>
      <w:r w:rsidR="007C6544">
        <w:rPr>
          <w:rFonts w:ascii="Times New Roman" w:hAnsi="Times New Roman"/>
          <w:sz w:val="24"/>
          <w:szCs w:val="24"/>
          <w:lang w:val="bg-BG"/>
        </w:rPr>
        <w:t>ектроцентрала с мощност до 1 MW</w:t>
      </w:r>
      <w:r w:rsidRPr="003B7027">
        <w:rPr>
          <w:rFonts w:ascii="Times New Roman" w:hAnsi="Times New Roman"/>
          <w:sz w:val="24"/>
          <w:szCs w:val="24"/>
          <w:lang w:val="bg-BG"/>
        </w:rPr>
        <w:t>.</w:t>
      </w:r>
    </w:p>
    <w:p w:rsidR="003C5B94" w:rsidRDefault="003C5B94" w:rsidP="000827A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изменението на ПУП-ПЗ имотът ще бъде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преотреден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7C6544">
        <w:rPr>
          <w:rFonts w:ascii="Times New Roman" w:hAnsi="Times New Roman"/>
          <w:sz w:val="24"/>
          <w:szCs w:val="24"/>
          <w:lang w:val="bg-BG"/>
        </w:rPr>
        <w:t>фотоволтаична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C6544">
        <w:rPr>
          <w:rFonts w:ascii="Times New Roman" w:hAnsi="Times New Roman"/>
          <w:sz w:val="24"/>
          <w:szCs w:val="24"/>
          <w:lang w:val="bg-BG"/>
        </w:rPr>
        <w:t>електроцентрала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C6544">
        <w:rPr>
          <w:rFonts w:ascii="Times New Roman" w:hAnsi="Times New Roman"/>
          <w:sz w:val="24"/>
          <w:szCs w:val="24"/>
          <w:lang w:val="bg-BG"/>
        </w:rPr>
        <w:t xml:space="preserve">с начин на застрояване свободно, плътност на застрояване до 80 %, озеленяване мин. 20 %, интензивност на застрояване </w:t>
      </w:r>
      <w:proofErr w:type="spellStart"/>
      <w:r w:rsidR="007C6544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="007C6544">
        <w:rPr>
          <w:rFonts w:ascii="Times New Roman" w:hAnsi="Times New Roman"/>
          <w:sz w:val="24"/>
          <w:szCs w:val="24"/>
          <w:lang w:val="bg-BG"/>
        </w:rPr>
        <w:t xml:space="preserve"> до 1,0 и височина до 5 м.</w:t>
      </w:r>
    </w:p>
    <w:p w:rsidR="007C6544" w:rsidRPr="003B7027" w:rsidRDefault="007C6544" w:rsidP="000827A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Изменението на ПУП-ПЗ на</w:t>
      </w:r>
      <w:r w:rsidRPr="007C6544">
        <w:rPr>
          <w:rFonts w:ascii="Times New Roman" w:hAnsi="Times New Roman"/>
          <w:sz w:val="24"/>
          <w:szCs w:val="24"/>
          <w:lang w:val="bg-BG"/>
        </w:rPr>
        <w:t xml:space="preserve"> поземлен имот с идентификатор 77181.1.500 по КККР на гр. Харманли, общ. Харманли, обл. Хасково</w:t>
      </w:r>
      <w:r>
        <w:rPr>
          <w:rFonts w:ascii="Times New Roman" w:hAnsi="Times New Roman"/>
          <w:sz w:val="24"/>
          <w:szCs w:val="24"/>
          <w:lang w:val="bg-BG"/>
        </w:rPr>
        <w:t xml:space="preserve"> се изработва на основание Заповед № РД-1080/02.12.2022 г. на кмета на Община Харманли.</w:t>
      </w:r>
    </w:p>
    <w:p w:rsidR="000F1D84" w:rsidRPr="003B7027" w:rsidRDefault="000F1D84" w:rsidP="005F65E2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3B7027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3B7027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3B702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3B7027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3B7027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т. 2 от Наредбата </w:t>
      </w:r>
      <w:r w:rsidRPr="003B7027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7C6544" w:rsidRPr="00375772" w:rsidRDefault="007C6544" w:rsidP="007C6544">
      <w:pPr>
        <w:autoSpaceDE/>
        <w:autoSpaceDN/>
        <w:adjustRightInd/>
        <w:ind w:firstLine="720"/>
        <w:jc w:val="both"/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</w:pPr>
      <w:r w:rsidRPr="00375772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поземлен имот с идентификатор 77181.1.500 по КККР на гр. Харманли, предмет на изменението на ПУП-ПЗ </w:t>
      </w:r>
      <w:r w:rsidRPr="00375772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375772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 и в обхвата на защитена зона от Екологичната мрежа Натура 2000. Близко разположена е </w:t>
      </w:r>
      <w:r w:rsidRPr="00375772">
        <w:rPr>
          <w:rFonts w:ascii="Times New Roman" w:hAnsi="Times New Roman"/>
          <w:b/>
          <w:sz w:val="24"/>
          <w:szCs w:val="24"/>
          <w:lang w:val="bg-BG"/>
        </w:rPr>
        <w:t>ЗЗ BG0000578 „Река Марица”</w:t>
      </w:r>
      <w:r w:rsidRPr="00375772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и на дивата флора и фауна, приета от Министерски съвет с Решение № 122/02.03.2007 г. (на приблизително отстояние 949 м).</w:t>
      </w:r>
    </w:p>
    <w:p w:rsidR="007C6544" w:rsidRPr="00375772" w:rsidRDefault="007C6544" w:rsidP="007C654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75772">
        <w:rPr>
          <w:rFonts w:ascii="Times New Roman" w:hAnsi="Times New Roman"/>
          <w:sz w:val="24"/>
          <w:szCs w:val="24"/>
          <w:lang w:val="bg-BG"/>
        </w:rPr>
        <w:t xml:space="preserve">Така заявеното изменение на ПУП-ПЗ </w:t>
      </w:r>
      <w:r w:rsidRPr="00375772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375772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</w:t>
      </w:r>
      <w:r w:rsidRPr="00375772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375772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375772">
        <w:rPr>
          <w:rFonts w:ascii="Times New Roman" w:hAnsi="Times New Roman"/>
          <w:b/>
          <w:sz w:val="24"/>
          <w:szCs w:val="24"/>
          <w:lang w:val="bg-BG"/>
        </w:rPr>
        <w:t xml:space="preserve">подлежи </w:t>
      </w:r>
      <w:r w:rsidRPr="00375772">
        <w:rPr>
          <w:rFonts w:ascii="Times New Roman" w:hAnsi="Times New Roman"/>
          <w:sz w:val="24"/>
          <w:szCs w:val="24"/>
          <w:lang w:val="bg-BG"/>
        </w:rPr>
        <w:t>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:rsidR="00BC785C" w:rsidRPr="003B7027" w:rsidRDefault="00BC785C" w:rsidP="008924F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B189D" w:rsidRPr="003B7027" w:rsidRDefault="000B189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A1425B" w:rsidRPr="003B7027" w:rsidRDefault="00A1425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3B7027" w:rsidRDefault="007C6544" w:rsidP="00A86950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Изменението на ПУП-ПЗ на</w:t>
      </w:r>
      <w:r w:rsidRPr="007C6544">
        <w:rPr>
          <w:rFonts w:ascii="Times New Roman" w:hAnsi="Times New Roman"/>
          <w:sz w:val="24"/>
          <w:szCs w:val="24"/>
        </w:rPr>
        <w:t xml:space="preserve"> поземлен имот с идентификатор 77181.1.500 по КККР на гр. Харманли, общ. Харманли, обл. Хасково</w:t>
      </w:r>
      <w:r>
        <w:rPr>
          <w:rFonts w:ascii="Times New Roman" w:hAnsi="Times New Roman"/>
          <w:sz w:val="24"/>
          <w:szCs w:val="24"/>
        </w:rPr>
        <w:t xml:space="preserve"> се изработва</w:t>
      </w:r>
      <w:r w:rsidR="000827AE" w:rsidRPr="003B7027">
        <w:rPr>
          <w:rFonts w:ascii="Times New Roman" w:hAnsi="Times New Roman"/>
          <w:sz w:val="24"/>
          <w:szCs w:val="24"/>
        </w:rPr>
        <w:t xml:space="preserve"> </w:t>
      </w:r>
      <w:r w:rsidR="00F362FE" w:rsidRPr="003B7027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8924FB" w:rsidRPr="003B7027" w:rsidRDefault="008924FB" w:rsidP="00A86950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 xml:space="preserve">Целта на </w:t>
      </w:r>
      <w:r w:rsidR="007C6544">
        <w:rPr>
          <w:rFonts w:ascii="Times New Roman" w:hAnsi="Times New Roman"/>
          <w:sz w:val="24"/>
          <w:szCs w:val="24"/>
        </w:rPr>
        <w:t>изменение</w:t>
      </w:r>
      <w:r w:rsidRPr="003B7027">
        <w:rPr>
          <w:rFonts w:ascii="Times New Roman" w:hAnsi="Times New Roman"/>
          <w:sz w:val="24"/>
          <w:szCs w:val="24"/>
        </w:rPr>
        <w:t xml:space="preserve"> на ПУП-ПЗ е да се създадат устройствени условия за реализиране на инвестиционното намерение на възложител</w:t>
      </w:r>
      <w:r w:rsidR="00A43524">
        <w:rPr>
          <w:rFonts w:ascii="Times New Roman" w:hAnsi="Times New Roman"/>
          <w:sz w:val="24"/>
          <w:szCs w:val="24"/>
        </w:rPr>
        <w:t>я</w:t>
      </w:r>
      <w:r w:rsidRPr="003B7027">
        <w:rPr>
          <w:rFonts w:ascii="Times New Roman" w:hAnsi="Times New Roman"/>
          <w:sz w:val="24"/>
          <w:szCs w:val="24"/>
        </w:rPr>
        <w:t xml:space="preserve"> за изграждане на фотоволтаична електроцентрала в </w:t>
      </w:r>
      <w:r w:rsidR="007C6544" w:rsidRPr="007C6544">
        <w:rPr>
          <w:rFonts w:ascii="Times New Roman" w:hAnsi="Times New Roman"/>
          <w:sz w:val="24"/>
          <w:szCs w:val="24"/>
        </w:rPr>
        <w:t>поземлен имот с идентификатор 77181.1.500 по КККР на гр. Харманли, общ. Харманли, обл. Хасково</w:t>
      </w:r>
      <w:r w:rsidRPr="003B7027">
        <w:rPr>
          <w:rFonts w:ascii="Times New Roman" w:hAnsi="Times New Roman"/>
          <w:sz w:val="24"/>
          <w:szCs w:val="24"/>
        </w:rPr>
        <w:t>. Така се допринася за създаване на условия за изграждане на обект за производство на електроенергия от възобновяеми източници (слънчева енергия). С изграждането и експлоатацията на фотоволтаичната електроцентрала ще се експлоатира единствено слънчева енергия.</w:t>
      </w:r>
    </w:p>
    <w:p w:rsidR="00353EEE" w:rsidRPr="003B7027" w:rsidRDefault="00353EEE" w:rsidP="00A86950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>Основните въздействия от реализ</w:t>
      </w:r>
      <w:r w:rsidR="0071067B" w:rsidRPr="003B7027">
        <w:rPr>
          <w:rFonts w:ascii="Times New Roman" w:hAnsi="Times New Roman"/>
          <w:sz w:val="24"/>
          <w:szCs w:val="24"/>
        </w:rPr>
        <w:t>ация</w:t>
      </w:r>
      <w:r w:rsidR="00F024AF" w:rsidRPr="003B7027">
        <w:rPr>
          <w:rFonts w:ascii="Times New Roman" w:hAnsi="Times New Roman"/>
          <w:sz w:val="24"/>
          <w:szCs w:val="24"/>
        </w:rPr>
        <w:t>та на предвиденото</w:t>
      </w:r>
      <w:r w:rsidR="0071067B" w:rsidRPr="003B7027">
        <w:rPr>
          <w:rFonts w:ascii="Times New Roman" w:hAnsi="Times New Roman"/>
          <w:sz w:val="24"/>
          <w:szCs w:val="24"/>
        </w:rPr>
        <w:t xml:space="preserve"> </w:t>
      </w:r>
      <w:r w:rsidR="00F024AF" w:rsidRPr="003B7027">
        <w:rPr>
          <w:rFonts w:ascii="Times New Roman" w:hAnsi="Times New Roman"/>
          <w:sz w:val="24"/>
          <w:szCs w:val="24"/>
        </w:rPr>
        <w:t>с</w:t>
      </w:r>
      <w:r w:rsidR="0071067B" w:rsidRPr="003B7027">
        <w:rPr>
          <w:rFonts w:ascii="Times New Roman" w:hAnsi="Times New Roman"/>
          <w:sz w:val="24"/>
          <w:szCs w:val="24"/>
        </w:rPr>
        <w:t xml:space="preserve"> плана </w:t>
      </w:r>
      <w:r w:rsidR="00F024AF" w:rsidRPr="003B7027">
        <w:rPr>
          <w:rFonts w:ascii="Times New Roman" w:hAnsi="Times New Roman"/>
          <w:sz w:val="24"/>
          <w:szCs w:val="24"/>
        </w:rPr>
        <w:t xml:space="preserve">застрояване </w:t>
      </w:r>
      <w:r w:rsidR="0071067B" w:rsidRPr="003B7027">
        <w:rPr>
          <w:rFonts w:ascii="Times New Roman" w:hAnsi="Times New Roman"/>
          <w:sz w:val="24"/>
          <w:szCs w:val="24"/>
        </w:rPr>
        <w:t>ще бъдат локални (в границите на имота)</w:t>
      </w:r>
      <w:r w:rsidRPr="003B7027">
        <w:rPr>
          <w:rFonts w:ascii="Times New Roman" w:hAnsi="Times New Roman"/>
          <w:sz w:val="24"/>
          <w:szCs w:val="24"/>
        </w:rPr>
        <w:t>, изразяващи се в</w:t>
      </w:r>
      <w:r w:rsidR="0071067B" w:rsidRPr="003B7027">
        <w:rPr>
          <w:rFonts w:ascii="Times New Roman" w:hAnsi="Times New Roman"/>
          <w:sz w:val="24"/>
          <w:szCs w:val="24"/>
        </w:rPr>
        <w:t xml:space="preserve"> </w:t>
      </w:r>
      <w:r w:rsidRPr="003B7027">
        <w:rPr>
          <w:rFonts w:ascii="Times New Roman" w:hAnsi="Times New Roman"/>
          <w:sz w:val="24"/>
          <w:szCs w:val="24"/>
        </w:rPr>
        <w:t>застрояване на не</w:t>
      </w:r>
      <w:r w:rsidR="0071067B" w:rsidRPr="003B7027">
        <w:rPr>
          <w:rFonts w:ascii="Times New Roman" w:hAnsi="Times New Roman"/>
          <w:sz w:val="24"/>
          <w:szCs w:val="24"/>
        </w:rPr>
        <w:t xml:space="preserve">застроения терен, незначителни </w:t>
      </w:r>
      <w:r w:rsidRPr="003B7027">
        <w:rPr>
          <w:rFonts w:ascii="Times New Roman" w:hAnsi="Times New Roman"/>
          <w:sz w:val="24"/>
          <w:szCs w:val="24"/>
        </w:rPr>
        <w:t>без да водят до генериране на емисии и отпадъци във вид и количества, които могат да окажат значително въ</w:t>
      </w:r>
      <w:r w:rsidR="0071067B" w:rsidRPr="003B7027">
        <w:rPr>
          <w:rFonts w:ascii="Times New Roman" w:hAnsi="Times New Roman"/>
          <w:sz w:val="24"/>
          <w:szCs w:val="24"/>
        </w:rPr>
        <w:t>здействие върху околната среда и временни,</w:t>
      </w:r>
      <w:r w:rsidRPr="003B7027">
        <w:rPr>
          <w:rFonts w:ascii="Times New Roman" w:hAnsi="Times New Roman"/>
          <w:sz w:val="24"/>
          <w:szCs w:val="24"/>
        </w:rPr>
        <w:t xml:space="preserve"> ограничаващи се главно през периода на строителство.</w:t>
      </w:r>
    </w:p>
    <w:p w:rsidR="008924FB" w:rsidRPr="003B7027" w:rsidRDefault="00615E30" w:rsidP="00A86950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7C6544">
        <w:rPr>
          <w:rFonts w:ascii="Times New Roman" w:hAnsi="Times New Roman"/>
          <w:sz w:val="24"/>
          <w:szCs w:val="24"/>
        </w:rPr>
        <w:t xml:space="preserve">изменение на </w:t>
      </w:r>
      <w:r w:rsidR="006A49A4" w:rsidRPr="003B7027">
        <w:rPr>
          <w:rFonts w:ascii="Times New Roman" w:hAnsi="Times New Roman"/>
          <w:sz w:val="24"/>
          <w:szCs w:val="24"/>
        </w:rPr>
        <w:t xml:space="preserve">ПУП-ПЗ </w:t>
      </w:r>
      <w:r w:rsidRPr="003B7027">
        <w:rPr>
          <w:rFonts w:ascii="Times New Roman" w:hAnsi="Times New Roman"/>
          <w:sz w:val="24"/>
          <w:szCs w:val="24"/>
        </w:rPr>
        <w:t xml:space="preserve">не са установени екологични проблеми, върху които реализирането </w:t>
      </w:r>
      <w:r w:rsidR="0071067B" w:rsidRPr="003B7027">
        <w:rPr>
          <w:rFonts w:ascii="Times New Roman" w:hAnsi="Times New Roman"/>
          <w:sz w:val="24"/>
          <w:szCs w:val="24"/>
        </w:rPr>
        <w:t>му</w:t>
      </w:r>
      <w:r w:rsidRPr="003B7027">
        <w:rPr>
          <w:rFonts w:ascii="Times New Roman" w:hAnsi="Times New Roman"/>
          <w:sz w:val="24"/>
          <w:szCs w:val="24"/>
        </w:rPr>
        <w:t xml:space="preserve"> би оказало допълнително негативно въздействие.</w:t>
      </w:r>
    </w:p>
    <w:p w:rsidR="007C6544" w:rsidRDefault="007C6544" w:rsidP="00A86950">
      <w:pPr>
        <w:pStyle w:val="ac"/>
        <w:numPr>
          <w:ilvl w:val="0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C6544">
        <w:rPr>
          <w:rFonts w:ascii="Times New Roman" w:hAnsi="Times New Roman"/>
          <w:sz w:val="24"/>
          <w:szCs w:val="24"/>
        </w:rPr>
        <w:t>На основание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544">
        <w:rPr>
          <w:rFonts w:ascii="Times New Roman" w:hAnsi="Times New Roman"/>
          <w:sz w:val="24"/>
          <w:szCs w:val="24"/>
        </w:rPr>
        <w:t>37,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544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ПУП-ПЗ и въз основа на критериите по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544">
        <w:rPr>
          <w:rFonts w:ascii="Times New Roman" w:hAnsi="Times New Roman"/>
          <w:sz w:val="24"/>
          <w:szCs w:val="24"/>
        </w:rPr>
        <w:t>16 от нея, е направена преценка на вероятната степен на отрицателно въздействие, според която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7C6544">
        <w:rPr>
          <w:rFonts w:ascii="Times New Roman" w:hAnsi="Times New Roman"/>
          <w:sz w:val="24"/>
          <w:szCs w:val="24"/>
        </w:rPr>
        <w:t>зработване</w:t>
      </w:r>
      <w:r>
        <w:rPr>
          <w:rFonts w:ascii="Times New Roman" w:hAnsi="Times New Roman"/>
          <w:sz w:val="24"/>
          <w:szCs w:val="24"/>
        </w:rPr>
        <w:t>то</w:t>
      </w:r>
      <w:r w:rsidRPr="007C6544">
        <w:rPr>
          <w:rFonts w:ascii="Times New Roman" w:hAnsi="Times New Roman"/>
          <w:sz w:val="24"/>
          <w:szCs w:val="24"/>
        </w:rPr>
        <w:t xml:space="preserve"> на изменение на подробен устройствен план – план за застрояване на поземлен имот с идентификатор 77181.1.500 по КККР на гр. Харманли, общ. Харманли, обл. Хасково с цел изграждане на фотоволтаична електроцентрала с мощност до 1 MW няма вероятност да окаже значително отрицателно въздействие върху природни местообитания, популации и местообитания на видове предмет на опазване в </w:t>
      </w:r>
      <w:r>
        <w:rPr>
          <w:rFonts w:ascii="Times New Roman" w:hAnsi="Times New Roman"/>
          <w:sz w:val="24"/>
          <w:szCs w:val="24"/>
        </w:rPr>
        <w:t>б</w:t>
      </w:r>
      <w:r w:rsidRPr="007C6544">
        <w:rPr>
          <w:rFonts w:ascii="Times New Roman" w:hAnsi="Times New Roman"/>
          <w:sz w:val="24"/>
          <w:szCs w:val="24"/>
        </w:rPr>
        <w:t>лизко разположена</w:t>
      </w:r>
      <w:r>
        <w:rPr>
          <w:rFonts w:ascii="Times New Roman" w:hAnsi="Times New Roman"/>
          <w:sz w:val="24"/>
          <w:szCs w:val="24"/>
        </w:rPr>
        <w:t>та</w:t>
      </w:r>
      <w:r w:rsidRPr="007C6544">
        <w:rPr>
          <w:rFonts w:ascii="Times New Roman" w:hAnsi="Times New Roman"/>
          <w:sz w:val="24"/>
          <w:szCs w:val="24"/>
        </w:rPr>
        <w:t xml:space="preserve"> </w:t>
      </w:r>
      <w:r w:rsidR="00A86950">
        <w:rPr>
          <w:rFonts w:ascii="Times New Roman" w:hAnsi="Times New Roman"/>
          <w:sz w:val="24"/>
          <w:szCs w:val="24"/>
        </w:rPr>
        <w:t>защитена зона</w:t>
      </w:r>
      <w:r w:rsidRPr="007C6544">
        <w:rPr>
          <w:rFonts w:ascii="Times New Roman" w:hAnsi="Times New Roman"/>
          <w:sz w:val="24"/>
          <w:szCs w:val="24"/>
        </w:rPr>
        <w:t xml:space="preserve"> BG0000578 „Река Марица”, поради следните мотиви:</w:t>
      </w:r>
    </w:p>
    <w:p w:rsidR="007C6544" w:rsidRPr="007C6544" w:rsidRDefault="007C6544" w:rsidP="00A86950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C6544">
        <w:rPr>
          <w:rFonts w:ascii="Times New Roman" w:hAnsi="Times New Roman"/>
          <w:sz w:val="24"/>
          <w:szCs w:val="24"/>
        </w:rPr>
        <w:t>Предвид, че имот</w:t>
      </w:r>
      <w:r w:rsidR="00A86950">
        <w:rPr>
          <w:rFonts w:ascii="Times New Roman" w:hAnsi="Times New Roman"/>
          <w:sz w:val="24"/>
          <w:szCs w:val="24"/>
        </w:rPr>
        <w:t>ът</w:t>
      </w:r>
      <w:r w:rsidRPr="007C6544">
        <w:rPr>
          <w:rFonts w:ascii="Times New Roman" w:hAnsi="Times New Roman"/>
          <w:sz w:val="24"/>
          <w:szCs w:val="24"/>
        </w:rPr>
        <w:t xml:space="preserve"> предмет на </w:t>
      </w:r>
      <w:r w:rsidR="00A86950">
        <w:rPr>
          <w:rFonts w:ascii="Times New Roman" w:hAnsi="Times New Roman"/>
          <w:sz w:val="24"/>
          <w:szCs w:val="24"/>
        </w:rPr>
        <w:t xml:space="preserve">изменение на </w:t>
      </w:r>
      <w:r w:rsidRPr="007C6544">
        <w:rPr>
          <w:rFonts w:ascii="Times New Roman" w:hAnsi="Times New Roman"/>
          <w:sz w:val="24"/>
          <w:szCs w:val="24"/>
        </w:rPr>
        <w:t xml:space="preserve">ПУП-ПЗ </w:t>
      </w:r>
      <w:r w:rsidRPr="007C6544">
        <w:rPr>
          <w:rFonts w:ascii="Times New Roman" w:hAnsi="Times New Roman"/>
          <w:b/>
          <w:sz w:val="24"/>
          <w:szCs w:val="24"/>
        </w:rPr>
        <w:t>не попада</w:t>
      </w:r>
      <w:r w:rsidRPr="007C6544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 природни местообитания и местообитания </w:t>
      </w:r>
      <w:r w:rsidRPr="007C6544">
        <w:rPr>
          <w:rFonts w:ascii="Times New Roman" w:hAnsi="Times New Roman"/>
          <w:sz w:val="24"/>
          <w:szCs w:val="24"/>
        </w:rPr>
        <w:lastRenderedPageBreak/>
        <w:t xml:space="preserve">на видове, предмет на опазване в близко разположената защитена зона </w:t>
      </w:r>
      <w:r w:rsidRPr="007C6544">
        <w:rPr>
          <w:rFonts w:ascii="Times New Roman" w:hAnsi="Times New Roman"/>
          <w:b/>
          <w:sz w:val="24"/>
          <w:szCs w:val="24"/>
        </w:rPr>
        <w:t xml:space="preserve">BG0000578 „Река Марица”, </w:t>
      </w:r>
      <w:r w:rsidRPr="007C6544">
        <w:rPr>
          <w:rFonts w:ascii="Times New Roman" w:hAnsi="Times New Roman"/>
          <w:sz w:val="24"/>
          <w:szCs w:val="24"/>
        </w:rPr>
        <w:t>то реализацията му няма да доведе до увреждане, трансформация, отнемане на площи или фрагментация на природни местообит</w:t>
      </w:r>
      <w:r w:rsidR="00A86950">
        <w:rPr>
          <w:rFonts w:ascii="Times New Roman" w:hAnsi="Times New Roman"/>
          <w:sz w:val="24"/>
          <w:szCs w:val="24"/>
        </w:rPr>
        <w:t>ания и местообитания на видове.</w:t>
      </w:r>
    </w:p>
    <w:p w:rsidR="007C6544" w:rsidRPr="007C6544" w:rsidRDefault="007C6544" w:rsidP="00A86950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C6544">
        <w:rPr>
          <w:rFonts w:ascii="Times New Roman" w:hAnsi="Times New Roman"/>
          <w:sz w:val="24"/>
          <w:szCs w:val="24"/>
        </w:rPr>
        <w:t xml:space="preserve">Предвид местоположението на имота спрямо защитените зони и техните елементи,  реализацията на </w:t>
      </w:r>
      <w:r w:rsidR="00A86950">
        <w:rPr>
          <w:rFonts w:ascii="Times New Roman" w:hAnsi="Times New Roman"/>
          <w:sz w:val="24"/>
          <w:szCs w:val="24"/>
        </w:rPr>
        <w:t xml:space="preserve">изменението на </w:t>
      </w:r>
      <w:r w:rsidRPr="007C6544">
        <w:rPr>
          <w:rFonts w:ascii="Times New Roman" w:hAnsi="Times New Roman"/>
          <w:sz w:val="24"/>
          <w:szCs w:val="24"/>
        </w:rPr>
        <w:t xml:space="preserve">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</w:t>
      </w:r>
      <w:r w:rsidR="00A86950"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:rsidR="007C6544" w:rsidRPr="007C6544" w:rsidRDefault="007C6544" w:rsidP="00A86950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C6544">
        <w:rPr>
          <w:rFonts w:ascii="Times New Roman" w:hAnsi="Times New Roman"/>
          <w:sz w:val="24"/>
          <w:szCs w:val="24"/>
        </w:rPr>
        <w:t xml:space="preserve">Местоположението и обхвата на </w:t>
      </w:r>
      <w:r w:rsidR="00A86950">
        <w:rPr>
          <w:rFonts w:ascii="Times New Roman" w:hAnsi="Times New Roman"/>
          <w:sz w:val="24"/>
          <w:szCs w:val="24"/>
        </w:rPr>
        <w:t xml:space="preserve">изменение на </w:t>
      </w:r>
      <w:r w:rsidRPr="007C6544">
        <w:rPr>
          <w:rFonts w:ascii="Times New Roman" w:hAnsi="Times New Roman"/>
          <w:sz w:val="24"/>
          <w:szCs w:val="24"/>
        </w:rPr>
        <w:t xml:space="preserve">ПУП-ПЗ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7C6544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7C6544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</w:t>
      </w:r>
      <w:r w:rsidR="00A86950">
        <w:rPr>
          <w:rFonts w:ascii="Times New Roman" w:hAnsi="Times New Roman"/>
          <w:sz w:val="24"/>
          <w:szCs w:val="24"/>
        </w:rPr>
        <w:t xml:space="preserve"> свързаността между зоните.</w:t>
      </w:r>
    </w:p>
    <w:p w:rsidR="007C6544" w:rsidRPr="007C6544" w:rsidRDefault="007C6544" w:rsidP="00A86950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C6544">
        <w:rPr>
          <w:rFonts w:ascii="Times New Roman" w:hAnsi="Times New Roman"/>
          <w:sz w:val="24"/>
          <w:szCs w:val="24"/>
        </w:rPr>
        <w:t>Не се очаква генерираните при реализацията на</w:t>
      </w:r>
      <w:r w:rsidR="00A86950">
        <w:rPr>
          <w:rFonts w:ascii="Times New Roman" w:hAnsi="Times New Roman"/>
          <w:sz w:val="24"/>
          <w:szCs w:val="24"/>
        </w:rPr>
        <w:t xml:space="preserve"> изменението на </w:t>
      </w:r>
      <w:r w:rsidRPr="007C6544">
        <w:rPr>
          <w:rFonts w:ascii="Times New Roman" w:hAnsi="Times New Roman"/>
          <w:sz w:val="24"/>
          <w:szCs w:val="24"/>
        </w:rPr>
        <w:t>ПУП-ПЗ, вид и количества шум, емисии и отпадъци да доведат до значително отрицателно въздействие върху близ</w:t>
      </w:r>
      <w:r w:rsidR="00A86950">
        <w:rPr>
          <w:rFonts w:ascii="Times New Roman" w:hAnsi="Times New Roman"/>
          <w:sz w:val="24"/>
          <w:szCs w:val="24"/>
        </w:rPr>
        <w:t>ко разположената защитена зона.</w:t>
      </w:r>
    </w:p>
    <w:p w:rsidR="007C6544" w:rsidRPr="00A86950" w:rsidRDefault="007C6544" w:rsidP="00A86950">
      <w:pPr>
        <w:pStyle w:val="ac"/>
        <w:numPr>
          <w:ilvl w:val="1"/>
          <w:numId w:val="16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C6544">
        <w:rPr>
          <w:rFonts w:ascii="Times New Roman" w:hAnsi="Times New Roman"/>
          <w:sz w:val="24"/>
          <w:szCs w:val="24"/>
        </w:rPr>
        <w:t xml:space="preserve">Предвид характера и местоположението на </w:t>
      </w:r>
      <w:r w:rsidR="00A86950">
        <w:rPr>
          <w:rFonts w:ascii="Times New Roman" w:hAnsi="Times New Roman"/>
          <w:sz w:val="24"/>
          <w:szCs w:val="24"/>
        </w:rPr>
        <w:t xml:space="preserve">изменение на </w:t>
      </w:r>
      <w:r w:rsidRPr="007C6544">
        <w:rPr>
          <w:rFonts w:ascii="Times New Roman" w:hAnsi="Times New Roman"/>
          <w:sz w:val="24"/>
          <w:szCs w:val="24"/>
        </w:rPr>
        <w:t>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3B7027" w:rsidRPr="003B7027" w:rsidRDefault="003B7027" w:rsidP="00A86950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A86950">
        <w:rPr>
          <w:rFonts w:ascii="Times New Roman" w:hAnsi="Times New Roman"/>
          <w:sz w:val="24"/>
          <w:szCs w:val="24"/>
        </w:rPr>
        <w:t>34</w:t>
      </w:r>
      <w:r w:rsidRPr="003B7027">
        <w:rPr>
          <w:rFonts w:ascii="Times New Roman" w:hAnsi="Times New Roman"/>
          <w:sz w:val="24"/>
          <w:szCs w:val="24"/>
        </w:rPr>
        <w:t>#1/</w:t>
      </w:r>
      <w:r w:rsidR="00A86950">
        <w:rPr>
          <w:rFonts w:ascii="Times New Roman" w:hAnsi="Times New Roman"/>
          <w:sz w:val="24"/>
          <w:szCs w:val="24"/>
        </w:rPr>
        <w:t>17</w:t>
      </w:r>
      <w:r w:rsidRPr="003B7027">
        <w:rPr>
          <w:rFonts w:ascii="Times New Roman" w:hAnsi="Times New Roman"/>
          <w:sz w:val="24"/>
          <w:szCs w:val="24"/>
        </w:rPr>
        <w:t>.03.2023 г., че липсва основание за наличие на значително въздействие и възникване на риск за човешкото здраве при прилагане на плана.</w:t>
      </w:r>
    </w:p>
    <w:p w:rsidR="00353EEE" w:rsidRPr="003B7027" w:rsidRDefault="008924FB" w:rsidP="00A86950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 xml:space="preserve">Предвид характера на </w:t>
      </w:r>
      <w:r w:rsidR="00A86950">
        <w:rPr>
          <w:rFonts w:ascii="Times New Roman" w:hAnsi="Times New Roman"/>
          <w:sz w:val="24"/>
          <w:szCs w:val="24"/>
        </w:rPr>
        <w:t xml:space="preserve">изменение на </w:t>
      </w:r>
      <w:r w:rsidRPr="003B7027">
        <w:rPr>
          <w:rFonts w:ascii="Times New Roman" w:hAnsi="Times New Roman"/>
          <w:sz w:val="24"/>
          <w:szCs w:val="24"/>
        </w:rPr>
        <w:t>ПУП-П</w:t>
      </w:r>
      <w:r w:rsidR="00353EEE" w:rsidRPr="003B7027">
        <w:rPr>
          <w:rFonts w:ascii="Times New Roman" w:hAnsi="Times New Roman"/>
          <w:sz w:val="24"/>
          <w:szCs w:val="24"/>
        </w:rPr>
        <w:t>З и местоположението на територията, в която ще се реализира плана няма вероятност от трансгранично въздействие.</w:t>
      </w:r>
    </w:p>
    <w:p w:rsidR="004350C9" w:rsidRPr="003B7027" w:rsidRDefault="004350C9" w:rsidP="00A86950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7027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A86950" w:rsidRDefault="00A86950" w:rsidP="00A8695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3B7027" w:rsidRDefault="004350C9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3B7027" w:rsidRDefault="004350C9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3B7027" w:rsidRDefault="00286D63" w:rsidP="00DD6FB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3B7027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3B7027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F0A86" w:rsidRPr="003B7027" w:rsidRDefault="00CF047E" w:rsidP="00DD6FBB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B7027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3B7027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Pr="003B7027" w:rsidRDefault="00FE760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024AF" w:rsidRPr="003B7027" w:rsidRDefault="000E4B42" w:rsidP="00F024AF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МК</w:t>
      </w:r>
      <w:bookmarkStart w:id="0" w:name="_GoBack"/>
      <w:bookmarkEnd w:id="0"/>
    </w:p>
    <w:p w:rsidR="00F024AF" w:rsidRPr="003B7027" w:rsidRDefault="00F024AF" w:rsidP="00F024AF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7027">
        <w:rPr>
          <w:rFonts w:ascii="Times New Roman" w:hAnsi="Times New Roman"/>
          <w:i/>
          <w:sz w:val="24"/>
          <w:szCs w:val="24"/>
          <w:lang w:val="bg-BG"/>
        </w:rPr>
        <w:t>И.</w:t>
      </w:r>
      <w:r w:rsidR="003B7027" w:rsidRPr="003B7027">
        <w:rPr>
          <w:rFonts w:ascii="Times New Roman" w:hAnsi="Times New Roman"/>
          <w:i/>
          <w:sz w:val="24"/>
          <w:szCs w:val="24"/>
          <w:lang w:val="bg-BG"/>
        </w:rPr>
        <w:t>д</w:t>
      </w:r>
      <w:r w:rsidRPr="003B7027">
        <w:rPr>
          <w:rFonts w:ascii="Times New Roman" w:hAnsi="Times New Roman"/>
          <w:i/>
          <w:sz w:val="24"/>
          <w:szCs w:val="24"/>
          <w:lang w:val="bg-BG"/>
        </w:rPr>
        <w:t xml:space="preserve">. Директор на Регионална инспекция по </w:t>
      </w:r>
    </w:p>
    <w:p w:rsidR="006800FF" w:rsidRPr="00A86950" w:rsidRDefault="00F024AF" w:rsidP="00A86950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7027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0B7E26" w:rsidRPr="003B7027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B7027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B5956">
        <w:rPr>
          <w:rFonts w:ascii="Times New Roman" w:hAnsi="Times New Roman"/>
          <w:b/>
          <w:sz w:val="24"/>
          <w:szCs w:val="24"/>
          <w:lang w:val="bg-BG"/>
        </w:rPr>
        <w:t>23</w:t>
      </w:r>
      <w:r w:rsidR="00092F85" w:rsidRPr="003B7027">
        <w:rPr>
          <w:rFonts w:ascii="Times New Roman" w:hAnsi="Times New Roman"/>
          <w:b/>
          <w:sz w:val="24"/>
          <w:szCs w:val="24"/>
          <w:lang w:val="bg-BG"/>
        </w:rPr>
        <w:t>.0</w:t>
      </w:r>
      <w:r w:rsidR="00F024AF" w:rsidRPr="003B7027">
        <w:rPr>
          <w:rFonts w:ascii="Times New Roman" w:hAnsi="Times New Roman"/>
          <w:b/>
          <w:sz w:val="24"/>
          <w:szCs w:val="24"/>
          <w:lang w:val="bg-BG"/>
        </w:rPr>
        <w:t>3</w:t>
      </w:r>
      <w:r w:rsidR="00092F85" w:rsidRPr="003B7027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3B702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0B7E26" w:rsidRPr="003B7027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F85" w:rsidRDefault="00395F85">
      <w:r>
        <w:separator/>
      </w:r>
    </w:p>
  </w:endnote>
  <w:endnote w:type="continuationSeparator" w:id="0">
    <w:p w:rsidR="00395F85" w:rsidRDefault="0039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0E4B42" w:rsidRPr="000E4B42">
          <w:rPr>
            <w:rFonts w:ascii="Times New Roman" w:hAnsi="Times New Roman"/>
            <w:noProof/>
            <w:lang w:val="bg-BG"/>
          </w:rPr>
          <w:t>3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F85" w:rsidRDefault="00395F85">
      <w:r>
        <w:separator/>
      </w:r>
    </w:p>
  </w:footnote>
  <w:footnote w:type="continuationSeparator" w:id="0">
    <w:p w:rsidR="00395F85" w:rsidRDefault="00395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7"/>
  </w:num>
  <w:num w:numId="3">
    <w:abstractNumId w:val="20"/>
  </w:num>
  <w:num w:numId="4">
    <w:abstractNumId w:val="2"/>
  </w:num>
  <w:num w:numId="5">
    <w:abstractNumId w:val="7"/>
  </w:num>
  <w:num w:numId="6">
    <w:abstractNumId w:val="0"/>
  </w:num>
  <w:num w:numId="7">
    <w:abstractNumId w:val="29"/>
  </w:num>
  <w:num w:numId="8">
    <w:abstractNumId w:val="25"/>
  </w:num>
  <w:num w:numId="9">
    <w:abstractNumId w:val="3"/>
  </w:num>
  <w:num w:numId="10">
    <w:abstractNumId w:val="6"/>
  </w:num>
  <w:num w:numId="11">
    <w:abstractNumId w:val="1"/>
  </w:num>
  <w:num w:numId="12">
    <w:abstractNumId w:val="23"/>
  </w:num>
  <w:num w:numId="13">
    <w:abstractNumId w:val="8"/>
  </w:num>
  <w:num w:numId="14">
    <w:abstractNumId w:val="15"/>
  </w:num>
  <w:num w:numId="15">
    <w:abstractNumId w:val="10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30"/>
  </w:num>
  <w:num w:numId="21">
    <w:abstractNumId w:val="12"/>
  </w:num>
  <w:num w:numId="22">
    <w:abstractNumId w:val="14"/>
  </w:num>
  <w:num w:numId="23">
    <w:abstractNumId w:val="19"/>
  </w:num>
  <w:num w:numId="24">
    <w:abstractNumId w:val="4"/>
  </w:num>
  <w:num w:numId="25">
    <w:abstractNumId w:val="21"/>
  </w:num>
  <w:num w:numId="26">
    <w:abstractNumId w:val="22"/>
  </w:num>
  <w:num w:numId="27">
    <w:abstractNumId w:val="13"/>
  </w:num>
  <w:num w:numId="28">
    <w:abstractNumId w:val="18"/>
  </w:num>
  <w:num w:numId="29">
    <w:abstractNumId w:val="16"/>
  </w:num>
  <w:num w:numId="30">
    <w:abstractNumId w:val="5"/>
  </w:num>
  <w:num w:numId="31">
    <w:abstractNumId w:val="17"/>
  </w:num>
  <w:num w:numId="3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92F85"/>
    <w:rsid w:val="0009440B"/>
    <w:rsid w:val="0009525E"/>
    <w:rsid w:val="0009564B"/>
    <w:rsid w:val="00096AC7"/>
    <w:rsid w:val="000A2443"/>
    <w:rsid w:val="000B11A7"/>
    <w:rsid w:val="000B189D"/>
    <w:rsid w:val="000B7E26"/>
    <w:rsid w:val="000C24EE"/>
    <w:rsid w:val="000C52E7"/>
    <w:rsid w:val="000D054A"/>
    <w:rsid w:val="000E4B42"/>
    <w:rsid w:val="000E4B63"/>
    <w:rsid w:val="000E7477"/>
    <w:rsid w:val="000F1D84"/>
    <w:rsid w:val="000F1DB4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216"/>
    <w:rsid w:val="00137B08"/>
    <w:rsid w:val="0014070F"/>
    <w:rsid w:val="00140C2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BA5"/>
    <w:rsid w:val="001B4D96"/>
    <w:rsid w:val="001B595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A60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23BE5"/>
    <w:rsid w:val="00324274"/>
    <w:rsid w:val="00330EC7"/>
    <w:rsid w:val="00335ECB"/>
    <w:rsid w:val="00340466"/>
    <w:rsid w:val="00342688"/>
    <w:rsid w:val="003441D7"/>
    <w:rsid w:val="003526C2"/>
    <w:rsid w:val="00352F4E"/>
    <w:rsid w:val="003533A0"/>
    <w:rsid w:val="00353EEE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95F85"/>
    <w:rsid w:val="003A0A46"/>
    <w:rsid w:val="003A14AE"/>
    <w:rsid w:val="003A2264"/>
    <w:rsid w:val="003A3E07"/>
    <w:rsid w:val="003B15A7"/>
    <w:rsid w:val="003B3115"/>
    <w:rsid w:val="003B5E41"/>
    <w:rsid w:val="003B6F9B"/>
    <w:rsid w:val="003B7027"/>
    <w:rsid w:val="003C53E8"/>
    <w:rsid w:val="003C56B8"/>
    <w:rsid w:val="003C5B94"/>
    <w:rsid w:val="003D020A"/>
    <w:rsid w:val="003D1AAA"/>
    <w:rsid w:val="003D287A"/>
    <w:rsid w:val="003D64E0"/>
    <w:rsid w:val="003E3854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5E10"/>
    <w:rsid w:val="0041699F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26C6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1277"/>
    <w:rsid w:val="00661C46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F17E3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C6544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0CD5"/>
    <w:rsid w:val="008625DB"/>
    <w:rsid w:val="008626AD"/>
    <w:rsid w:val="00862B88"/>
    <w:rsid w:val="00867E7D"/>
    <w:rsid w:val="00870F88"/>
    <w:rsid w:val="008719BB"/>
    <w:rsid w:val="00892294"/>
    <w:rsid w:val="0089242E"/>
    <w:rsid w:val="008924FB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4C98"/>
    <w:rsid w:val="0090760C"/>
    <w:rsid w:val="00912C5A"/>
    <w:rsid w:val="00921C73"/>
    <w:rsid w:val="00924EAA"/>
    <w:rsid w:val="00932AB9"/>
    <w:rsid w:val="00932D02"/>
    <w:rsid w:val="0093490F"/>
    <w:rsid w:val="00936425"/>
    <w:rsid w:val="009373B6"/>
    <w:rsid w:val="00946775"/>
    <w:rsid w:val="00946D85"/>
    <w:rsid w:val="00951133"/>
    <w:rsid w:val="00951267"/>
    <w:rsid w:val="00952B01"/>
    <w:rsid w:val="009578CF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5C28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524"/>
    <w:rsid w:val="00A438A5"/>
    <w:rsid w:val="00A447DE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950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5D3"/>
    <w:rsid w:val="00B7645F"/>
    <w:rsid w:val="00B76562"/>
    <w:rsid w:val="00B80F1E"/>
    <w:rsid w:val="00B858CF"/>
    <w:rsid w:val="00BA344C"/>
    <w:rsid w:val="00BA59E7"/>
    <w:rsid w:val="00BA622F"/>
    <w:rsid w:val="00BB034B"/>
    <w:rsid w:val="00BB0B1A"/>
    <w:rsid w:val="00BC785C"/>
    <w:rsid w:val="00BC7F7A"/>
    <w:rsid w:val="00BD0264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26DFB"/>
    <w:rsid w:val="00C3405A"/>
    <w:rsid w:val="00C36910"/>
    <w:rsid w:val="00C37565"/>
    <w:rsid w:val="00C37D0A"/>
    <w:rsid w:val="00C46715"/>
    <w:rsid w:val="00C469D3"/>
    <w:rsid w:val="00C473A4"/>
    <w:rsid w:val="00C473D9"/>
    <w:rsid w:val="00C51D17"/>
    <w:rsid w:val="00C577BD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B5C18"/>
    <w:rsid w:val="00CC1996"/>
    <w:rsid w:val="00CC2069"/>
    <w:rsid w:val="00CC6E82"/>
    <w:rsid w:val="00CC6FFF"/>
    <w:rsid w:val="00CC72CA"/>
    <w:rsid w:val="00CD0EE6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1E8A"/>
    <w:rsid w:val="00D7285E"/>
    <w:rsid w:val="00D7472F"/>
    <w:rsid w:val="00D74EBB"/>
    <w:rsid w:val="00D77575"/>
    <w:rsid w:val="00D827FC"/>
    <w:rsid w:val="00D865ED"/>
    <w:rsid w:val="00D9698C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6A09"/>
    <w:rsid w:val="00E01D35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44E2"/>
    <w:rsid w:val="00E42451"/>
    <w:rsid w:val="00E46C1A"/>
    <w:rsid w:val="00E5179C"/>
    <w:rsid w:val="00E55BF5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1BD6"/>
    <w:rsid w:val="00ED2E06"/>
    <w:rsid w:val="00ED2F88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0B8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74EC7"/>
    <w:rsid w:val="00F81945"/>
    <w:rsid w:val="00F831FD"/>
    <w:rsid w:val="00F93345"/>
    <w:rsid w:val="00FA2004"/>
    <w:rsid w:val="00FA3A26"/>
    <w:rsid w:val="00FB5E45"/>
    <w:rsid w:val="00FC3072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F8E03-BB98-4A0D-A270-37F31EAD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4305</TotalTime>
  <Pages>3</Pages>
  <Words>1348</Words>
  <Characters>7686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9016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216</cp:revision>
  <cp:lastPrinted>2023-03-23T14:25:00Z</cp:lastPrinted>
  <dcterms:created xsi:type="dcterms:W3CDTF">2021-11-11T09:41:00Z</dcterms:created>
  <dcterms:modified xsi:type="dcterms:W3CDTF">2023-10-27T09:05:00Z</dcterms:modified>
</cp:coreProperties>
</file>