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40" w:rsidRPr="005355D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5355D6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51F1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BB51F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B51F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BB51F1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233B69" w:rsidRPr="00BB51F1">
        <w:rPr>
          <w:rFonts w:ascii="Times New Roman" w:hAnsi="Times New Roman"/>
          <w:b/>
          <w:sz w:val="24"/>
          <w:szCs w:val="24"/>
          <w:lang w:val="bg-BG"/>
        </w:rPr>
        <w:t>1</w:t>
      </w:r>
      <w:r w:rsidR="00BB51F1" w:rsidRPr="00BB51F1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B51F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BB51F1">
        <w:rPr>
          <w:rFonts w:ascii="Times New Roman" w:hAnsi="Times New Roman"/>
          <w:b/>
          <w:sz w:val="24"/>
          <w:szCs w:val="24"/>
          <w:lang w:val="bg-BG"/>
        </w:rPr>
        <w:t>4</w:t>
      </w:r>
      <w:r w:rsidRPr="00BB51F1">
        <w:rPr>
          <w:rFonts w:ascii="Times New Roman" w:hAnsi="Times New Roman"/>
          <w:b/>
          <w:sz w:val="24"/>
          <w:szCs w:val="24"/>
          <w:lang w:val="bg-BG"/>
        </w:rPr>
        <w:t>г.</w:t>
      </w:r>
      <w:bookmarkStart w:id="0" w:name="_GoBack"/>
      <w:bookmarkEnd w:id="0"/>
    </w:p>
    <w:p w:rsidR="00E03B40" w:rsidRPr="005355D6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5355D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5355D6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5355D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5355D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5355D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5355D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5355D6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5355D6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5355D6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5355D6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5355D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74748" w:rsidRPr="005355D6">
        <w:rPr>
          <w:rFonts w:ascii="Times New Roman" w:hAnsi="Times New Roman"/>
          <w:sz w:val="24"/>
          <w:szCs w:val="24"/>
          <w:lang w:val="bg-BG"/>
        </w:rPr>
        <w:t>„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>Изменение на ОУП на община Кирково и ПУП-ПЗ за ПИ 36926.24.149 и ПИ 36926.24.152 с. Кирково</w:t>
      </w:r>
      <w:r w:rsidR="00A74748" w:rsidRPr="005355D6">
        <w:rPr>
          <w:rFonts w:ascii="Times New Roman" w:hAnsi="Times New Roman"/>
          <w:sz w:val="24"/>
          <w:szCs w:val="24"/>
          <w:lang w:val="bg-BG"/>
        </w:rPr>
        <w:t>“</w:t>
      </w:r>
      <w:r w:rsidRPr="005355D6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5355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55D6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355D6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5355D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>Емилия Асенова Димитрова</w:t>
      </w:r>
    </w:p>
    <w:p w:rsidR="00993C57" w:rsidRPr="005355D6" w:rsidRDefault="0083368C" w:rsidP="00CE03C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E03C8" w:rsidRPr="005355D6">
        <w:rPr>
          <w:rFonts w:ascii="Times New Roman" w:hAnsi="Times New Roman"/>
          <w:sz w:val="24"/>
          <w:szCs w:val="24"/>
          <w:lang w:val="bg-BG"/>
        </w:rPr>
        <w:t>ул. „Тутракан“, №17, офис1</w:t>
      </w:r>
    </w:p>
    <w:p w:rsidR="0083368C" w:rsidRPr="005355D6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Поземлен имот 36926.24.149, област Кърджали, община Кирково, с. Кирково, м. ДЮШЕМЯ, е вид територия Земеделска, категория 4, НТП Ливада, с площ 1006м</w:t>
      </w:r>
      <w:r w:rsidRPr="005355D6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Поземлен имот 36926.24.152, област Кърджали, община Кирково, с. Кирково, м. ДЮШЕМЯ, е вид територия Земеделска, категория 4, НТП Ливада, с площ 1210м</w:t>
      </w:r>
      <w:r w:rsidRPr="005355D6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CE03C8" w:rsidRPr="005355D6" w:rsidRDefault="00CE03C8" w:rsidP="00CE03C8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Имотите са разположени на югоизток от с. Кирково.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С Решение №482 и Протокол №39 от проведено заседание 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>-Кирково на 24.07.2023г. е разрешено изработване едновременно на Изменение на ОУП на община Кирково и ПУП-ПЗ за ПИ 36926.24.149 и ПИ 36926.24.152 с. Кирково.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Изменението на ОУП на община Кирково включва промяна на предназначението на ПИ 36926.24.149 и ПИ 36926.24.152 с. Кирково, като се предвижда новите зони да са: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За ПИ 36926.24.149 – зона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 xml:space="preserve"> – смесена многофункционална зона, с възможност за застрояване както на жилищни, така и на нежилищни сгради. Този ПИ е разположен на главен път и в близост до него има отредени вече имоти със същата зона и параметри.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За ПИ 36926.24.152 – зона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 xml:space="preserve"> – жилищна зона с преобладаващо застрояване с малка височина, плътност и интензивност.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С ПУП-ПЗ ще се отредят имотите с конкретното предназначение при спазване на разпоредбите на ЗУТ и ЗОЗЗ.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С изменението на ОУП на община Кирково и при спазване на правилата за неговото прилагане се гарантира съвместяването на личните и обществени интереси за постигане на крайната цел, не нарушаване на жизнената среда и съхранение 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ландшафтните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 xml:space="preserve"> територии.</w:t>
      </w:r>
    </w:p>
    <w:p w:rsidR="00CE03C8" w:rsidRPr="005355D6" w:rsidRDefault="00CE03C8" w:rsidP="00CE03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ПУП-ПЗ е съобразен с изготвеното изменение на ОУП, съгласно което за ПИ 36926.24.149 се отрежда зона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 xml:space="preserve">, а за ПИ 36926.24.152 се отрежда зона 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 xml:space="preserve">. С ПУП-ПЗ в двата </w:t>
      </w:r>
      <w:r w:rsidRPr="005355D6">
        <w:rPr>
          <w:rFonts w:ascii="Times New Roman" w:hAnsi="Times New Roman"/>
          <w:sz w:val="24"/>
          <w:szCs w:val="24"/>
          <w:lang w:val="bg-BG"/>
        </w:rPr>
        <w:lastRenderedPageBreak/>
        <w:t>имота се предвижда конкретно предназначение „за жилище и гараж“, съобразно съответните устройствени зони и параметрите към тях.</w:t>
      </w:r>
    </w:p>
    <w:p w:rsidR="00CE03C8" w:rsidRPr="005355D6" w:rsidRDefault="00CE03C8" w:rsidP="00CE03C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Изменението на ОУП на община Кирково и ПУП-ПЗ за ПИ 36926.24.149 и ПИ 36926.24.152 с. Кирково попада в обхвата на разпоредбата на чл. 2, ал. 2, т. 2 от Наредбата за ЕО и подлежи на процедура по преценяване на необходимостта от извършване на екологична оценка (ЕО)</w:t>
      </w:r>
      <w:r w:rsidRPr="005355D6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Pr="005355D6">
        <w:rPr>
          <w:rFonts w:ascii="Times New Roman" w:hAnsi="Times New Roman"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9A2FD9" w:rsidRPr="005355D6" w:rsidRDefault="009A2FD9" w:rsidP="009A2FD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идентификатори 36926.24.149 и 36926.24.152 по КККР на с. Кирково 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5355D6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имотите (приблизително на 2394 м.) е защитена зона 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5355D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355D6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:rsidR="009A2FD9" w:rsidRPr="005355D6" w:rsidRDefault="009A2FD9" w:rsidP="009A2FD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Изменението на ОУП на община Кирково и ПУП</w:t>
      </w:r>
      <w:r w:rsidRPr="005355D6">
        <w:rPr>
          <w:rFonts w:ascii="Times New Roman" w:hAnsi="Times New Roman"/>
          <w:sz w:val="24"/>
          <w:szCs w:val="24"/>
          <w:lang w:val="bg-BG"/>
        </w:rPr>
        <w:t>-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ПЗ за ПИ с идентификатори 36926.24.149 и 36926.24.152 по КККР на с. Кирково с цел изграждане на жилищна сграда и гараж попада в обхвата на чл. 2, ал. 1, т. 1 от </w:t>
      </w:r>
      <w:r w:rsidRPr="005355D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5355D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5355D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5355D6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5355D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9A2FD9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Кирково и ПУП-ПЗ за ПИ 36926.24.149 и ПИ 36926.24.152 с. Кирково </w:t>
      </w:r>
      <w:r w:rsidR="00747FE2" w:rsidRPr="005355D6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747FE2" w:rsidRPr="005355D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747FE2" w:rsidRPr="005355D6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D3A02"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9E22BC" w:rsidRPr="005355D6" w:rsidRDefault="009E22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bCs/>
          <w:sz w:val="24"/>
          <w:szCs w:val="24"/>
          <w:lang w:val="bg-BG"/>
        </w:rPr>
        <w:t>Предлаганият план попада в основна фаза на цялостния процес на планиране, защото касае изменение на ОУПО, който е основен документ в сферата на устройствената политика на местната власт. Поради локалния териториален обхват на плана, той няма да повлияе на други планове и/или програми в района.</w:t>
      </w:r>
    </w:p>
    <w:p w:rsidR="001C20DD" w:rsidRPr="005355D6" w:rsidRDefault="009E22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Експертния съвет при РЗИ – Кърджали </w:t>
      </w:r>
      <w:r w:rsidR="005055BC" w:rsidRPr="005355D6">
        <w:rPr>
          <w:rFonts w:ascii="Times New Roman" w:hAnsi="Times New Roman"/>
          <w:bCs/>
          <w:sz w:val="24"/>
          <w:szCs w:val="24"/>
          <w:lang w:val="bg-BG"/>
        </w:rPr>
        <w:t>с изх. №10-</w:t>
      </w:r>
      <w:r w:rsidRPr="005355D6">
        <w:rPr>
          <w:rFonts w:ascii="Times New Roman" w:hAnsi="Times New Roman"/>
          <w:bCs/>
          <w:sz w:val="24"/>
          <w:szCs w:val="24"/>
          <w:lang w:val="bg-BG"/>
        </w:rPr>
        <w:t>5</w:t>
      </w:r>
      <w:r w:rsidR="005055BC" w:rsidRPr="005355D6">
        <w:rPr>
          <w:rFonts w:ascii="Times New Roman" w:hAnsi="Times New Roman"/>
          <w:bCs/>
          <w:sz w:val="24"/>
          <w:szCs w:val="24"/>
          <w:lang w:val="bg-BG"/>
        </w:rPr>
        <w:t>-1/</w:t>
      </w:r>
      <w:r w:rsidRPr="005355D6">
        <w:rPr>
          <w:rFonts w:ascii="Times New Roman" w:hAnsi="Times New Roman"/>
          <w:bCs/>
          <w:sz w:val="24"/>
          <w:szCs w:val="24"/>
          <w:lang w:val="bg-BG"/>
        </w:rPr>
        <w:t>13</w:t>
      </w:r>
      <w:r w:rsidR="005055BC" w:rsidRPr="005355D6">
        <w:rPr>
          <w:rFonts w:ascii="Times New Roman" w:hAnsi="Times New Roman"/>
          <w:bCs/>
          <w:sz w:val="24"/>
          <w:szCs w:val="24"/>
          <w:lang w:val="bg-BG"/>
        </w:rPr>
        <w:t>.</w:t>
      </w:r>
      <w:r w:rsidR="0036389C" w:rsidRPr="005355D6">
        <w:rPr>
          <w:rFonts w:ascii="Times New Roman" w:hAnsi="Times New Roman"/>
          <w:bCs/>
          <w:sz w:val="24"/>
          <w:szCs w:val="24"/>
          <w:lang w:val="bg-BG"/>
        </w:rPr>
        <w:t>02</w:t>
      </w:r>
      <w:r w:rsidR="005055BC" w:rsidRPr="005355D6">
        <w:rPr>
          <w:rFonts w:ascii="Times New Roman" w:hAnsi="Times New Roman"/>
          <w:bCs/>
          <w:sz w:val="24"/>
          <w:szCs w:val="24"/>
          <w:lang w:val="bg-BG"/>
        </w:rPr>
        <w:t xml:space="preserve">.2024г., </w:t>
      </w:r>
      <w:r w:rsidR="00DC45A9" w:rsidRPr="005355D6">
        <w:rPr>
          <w:rFonts w:ascii="Times New Roman" w:hAnsi="Times New Roman"/>
          <w:bCs/>
          <w:sz w:val="24"/>
          <w:szCs w:val="24"/>
          <w:lang w:val="bg-BG"/>
        </w:rPr>
        <w:t>реализацията на плана няма да предизвика поява на отрицателно въздействие върху хората и тяхното здраве</w:t>
      </w:r>
      <w:r w:rsidR="005055BC" w:rsidRPr="005355D6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03B40" w:rsidRPr="005355D6" w:rsidRDefault="005355D6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5355D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изменението на ОУП и ПУП-ПЗ и въз основа на критериите по чл.16 от нея, е направена преценка на вероятната степен на отрицателно въздействие, според която изменението на ОУП на община Кирково и ПУП-ПЗ за ПИ с идентификатори 36926.24.149 и 36926.24.152 по КККР на с. Кирково с цел изграждане на жилищна сграда и гараж 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7660" w:rsidRPr="005355D6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5355D6" w:rsidRDefault="005355D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Изменението на ОУП и 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9F4BFD"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5355D6" w:rsidRDefault="005355D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BC4190"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Pr="005355D6" w:rsidRDefault="005355D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Не се очаква измене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ието на ОУП и ПУП-ПЗ да доведе до кумулативно въздействие със значителен ефект върху видове и местообитания предмет на опазване в близко </w:t>
      </w:r>
      <w:r w:rsidRPr="005355D6">
        <w:rPr>
          <w:rFonts w:ascii="Times New Roman" w:hAnsi="Times New Roman"/>
          <w:sz w:val="24"/>
          <w:szCs w:val="24"/>
          <w:lang w:val="bg-BG"/>
        </w:rPr>
        <w:lastRenderedPageBreak/>
        <w:t>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55D6">
        <w:rPr>
          <w:rFonts w:ascii="Times New Roman" w:hAnsi="Times New Roman"/>
          <w:sz w:val="24"/>
          <w:szCs w:val="24"/>
          <w:lang w:val="bg-BG"/>
        </w:rPr>
        <w:t>Кирково</w:t>
      </w:r>
      <w:r w:rsidR="00725605" w:rsidRPr="005355D6"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5355D6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5355D6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5355D6">
        <w:rPr>
          <w:rFonts w:ascii="Times New Roman" w:hAnsi="Times New Roman"/>
          <w:sz w:val="24"/>
          <w:szCs w:val="24"/>
          <w:lang w:val="bg-BG"/>
        </w:rPr>
        <w:t>плана</w:t>
      </w:r>
      <w:r w:rsidRPr="005355D6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5355D6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355D6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5355D6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5355D6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5355D6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5355D6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5355D6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355D6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355D6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5355D6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5355D6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5355D6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5355D6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5355D6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:rsidR="00E03B40" w:rsidRPr="005355D6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5355D6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5355D6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5355D6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5355D6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5355D6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355D6">
        <w:rPr>
          <w:rFonts w:ascii="Times New Roman" w:hAnsi="Times New Roman"/>
          <w:b/>
          <w:sz w:val="24"/>
          <w:szCs w:val="24"/>
          <w:lang w:val="bg-BG"/>
        </w:rPr>
        <w:t>21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.</w:t>
      </w:r>
      <w:r w:rsidR="002D6C48" w:rsidRPr="005355D6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5355D6">
        <w:rPr>
          <w:rFonts w:ascii="Times New Roman" w:hAnsi="Times New Roman"/>
          <w:b/>
          <w:sz w:val="24"/>
          <w:szCs w:val="24"/>
          <w:lang w:val="bg-BG"/>
        </w:rPr>
        <w:t>4</w:t>
      </w:r>
      <w:r w:rsidRPr="005355D6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5355D6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5355D6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5355D6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5355D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5355D6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5355D6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5355D6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5355D6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5355D6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E3448" w:rsidRPr="005355D6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Началник отдел ПДБРЗТЗ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355D6">
        <w:rPr>
          <w:rFonts w:ascii="Times New Roman" w:hAnsi="Times New Roman"/>
          <w:i/>
          <w:sz w:val="24"/>
          <w:szCs w:val="24"/>
          <w:lang w:val="bg-BG"/>
        </w:rPr>
        <w:t>главен експерт в отдел ПДБРЗТЗ</w:t>
      </w:r>
    </w:p>
    <w:p w:rsidR="00B0333B" w:rsidRPr="005355D6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5355D6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0333B" w:rsidRPr="005355D6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4A" w:rsidRDefault="00B6304A">
      <w:r>
        <w:separator/>
      </w:r>
    </w:p>
  </w:endnote>
  <w:endnote w:type="continuationSeparator" w:id="0">
    <w:p w:rsidR="00B6304A" w:rsidRDefault="00B6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BB51F1" w:rsidRPr="00BB51F1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B6304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4A" w:rsidRDefault="00B6304A">
      <w:r>
        <w:separator/>
      </w:r>
    </w:p>
  </w:footnote>
  <w:footnote w:type="continuationSeparator" w:id="0">
    <w:p w:rsidR="00B6304A" w:rsidRDefault="00B6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47118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2FD4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D6F34"/>
    <w:rsid w:val="001E10FE"/>
    <w:rsid w:val="001E25CF"/>
    <w:rsid w:val="001E297A"/>
    <w:rsid w:val="001E465F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3B69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D6C48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6389C"/>
    <w:rsid w:val="00374C35"/>
    <w:rsid w:val="003762B9"/>
    <w:rsid w:val="0038379D"/>
    <w:rsid w:val="003867C5"/>
    <w:rsid w:val="00394EFE"/>
    <w:rsid w:val="00397687"/>
    <w:rsid w:val="003A3E07"/>
    <w:rsid w:val="003B0F32"/>
    <w:rsid w:val="003B15A7"/>
    <w:rsid w:val="003B6573"/>
    <w:rsid w:val="003C39FC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63B7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624F2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4155"/>
    <w:rsid w:val="004F765C"/>
    <w:rsid w:val="00501BA2"/>
    <w:rsid w:val="00504B7F"/>
    <w:rsid w:val="005055BC"/>
    <w:rsid w:val="005104DD"/>
    <w:rsid w:val="00514698"/>
    <w:rsid w:val="0051471E"/>
    <w:rsid w:val="00524417"/>
    <w:rsid w:val="00524730"/>
    <w:rsid w:val="00531ECA"/>
    <w:rsid w:val="005355D6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3050"/>
    <w:rsid w:val="005C683C"/>
    <w:rsid w:val="005D7788"/>
    <w:rsid w:val="005F34F9"/>
    <w:rsid w:val="005F4026"/>
    <w:rsid w:val="005F6768"/>
    <w:rsid w:val="00601D2F"/>
    <w:rsid w:val="00602A0B"/>
    <w:rsid w:val="006039E5"/>
    <w:rsid w:val="00605D49"/>
    <w:rsid w:val="006110BD"/>
    <w:rsid w:val="00611F20"/>
    <w:rsid w:val="00612441"/>
    <w:rsid w:val="006134DB"/>
    <w:rsid w:val="006171EB"/>
    <w:rsid w:val="006340C8"/>
    <w:rsid w:val="0064092B"/>
    <w:rsid w:val="0064168A"/>
    <w:rsid w:val="0064368F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440C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0367"/>
    <w:rsid w:val="006C38D7"/>
    <w:rsid w:val="006C3CED"/>
    <w:rsid w:val="006C5E6E"/>
    <w:rsid w:val="006D21A3"/>
    <w:rsid w:val="006D2226"/>
    <w:rsid w:val="006E0EE9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310F9"/>
    <w:rsid w:val="00731CCD"/>
    <w:rsid w:val="00735898"/>
    <w:rsid w:val="007379AC"/>
    <w:rsid w:val="00741CE4"/>
    <w:rsid w:val="00742897"/>
    <w:rsid w:val="0074472F"/>
    <w:rsid w:val="00747FE2"/>
    <w:rsid w:val="00751426"/>
    <w:rsid w:val="00751608"/>
    <w:rsid w:val="00761DAF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46A1E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1995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09E5"/>
    <w:rsid w:val="009A2FD9"/>
    <w:rsid w:val="009A32CC"/>
    <w:rsid w:val="009A49E5"/>
    <w:rsid w:val="009A674D"/>
    <w:rsid w:val="009A6D7E"/>
    <w:rsid w:val="009C28A8"/>
    <w:rsid w:val="009C7D75"/>
    <w:rsid w:val="009D24A5"/>
    <w:rsid w:val="009D2E64"/>
    <w:rsid w:val="009D4048"/>
    <w:rsid w:val="009D6A11"/>
    <w:rsid w:val="009E22BC"/>
    <w:rsid w:val="009E24BD"/>
    <w:rsid w:val="009E40CF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15847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4748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304A"/>
    <w:rsid w:val="00B661D6"/>
    <w:rsid w:val="00B67DBE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51F1"/>
    <w:rsid w:val="00BB7753"/>
    <w:rsid w:val="00BC4190"/>
    <w:rsid w:val="00BC5995"/>
    <w:rsid w:val="00BC7F7A"/>
    <w:rsid w:val="00BD47A7"/>
    <w:rsid w:val="00BD4A64"/>
    <w:rsid w:val="00BD5C1B"/>
    <w:rsid w:val="00BE2EB5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24EFA"/>
    <w:rsid w:val="00C30CDE"/>
    <w:rsid w:val="00C3116E"/>
    <w:rsid w:val="00C34019"/>
    <w:rsid w:val="00C36227"/>
    <w:rsid w:val="00C36467"/>
    <w:rsid w:val="00C36910"/>
    <w:rsid w:val="00C37565"/>
    <w:rsid w:val="00C409A1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970E5"/>
    <w:rsid w:val="00CA0AA5"/>
    <w:rsid w:val="00CA3258"/>
    <w:rsid w:val="00CA4C20"/>
    <w:rsid w:val="00CA7A14"/>
    <w:rsid w:val="00CB0BF9"/>
    <w:rsid w:val="00CD151E"/>
    <w:rsid w:val="00CD1F33"/>
    <w:rsid w:val="00CD3EC5"/>
    <w:rsid w:val="00CE03C8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C45A9"/>
    <w:rsid w:val="00DD3A02"/>
    <w:rsid w:val="00DE388D"/>
    <w:rsid w:val="00DE432A"/>
    <w:rsid w:val="00DE759E"/>
    <w:rsid w:val="00DE75FA"/>
    <w:rsid w:val="00DF1D2E"/>
    <w:rsid w:val="00DF6A09"/>
    <w:rsid w:val="00DF6D24"/>
    <w:rsid w:val="00DF7AA9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53DDB"/>
    <w:rsid w:val="00E60917"/>
    <w:rsid w:val="00E619A1"/>
    <w:rsid w:val="00E74367"/>
    <w:rsid w:val="00E7456D"/>
    <w:rsid w:val="00E7682A"/>
    <w:rsid w:val="00E82945"/>
    <w:rsid w:val="00E844D0"/>
    <w:rsid w:val="00E846B2"/>
    <w:rsid w:val="00E9636A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A7813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1D6F34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D6F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CE29-AF9E-411F-A154-0CC7644E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8285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365</cp:revision>
  <cp:lastPrinted>2024-01-09T09:00:00Z</cp:lastPrinted>
  <dcterms:created xsi:type="dcterms:W3CDTF">2021-11-11T09:41:00Z</dcterms:created>
  <dcterms:modified xsi:type="dcterms:W3CDTF">2024-02-21T07:04:00Z</dcterms:modified>
</cp:coreProperties>
</file>