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16" w:rsidRPr="0057254F" w:rsidRDefault="00287316" w:rsidP="00D934EB">
      <w:pPr>
        <w:rPr>
          <w:rFonts w:ascii="Times New Roman" w:hAnsi="Times New Roman"/>
          <w:sz w:val="24"/>
          <w:szCs w:val="24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РЕШЕНИЕ</w:t>
      </w:r>
    </w:p>
    <w:p w:rsidR="00193810" w:rsidRPr="0057254F" w:rsidRDefault="00193810" w:rsidP="0019381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ПО ОЦЕНКА НА ВЪЗДЕЙСТВИЕТО ВЪРХУ ОКОЛНАТА СРЕДА</w:t>
      </w:r>
    </w:p>
    <w:p w:rsidR="00193810" w:rsidRPr="0057254F" w:rsidRDefault="00193810" w:rsidP="0019381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 xml:space="preserve">№ ХА – </w:t>
      </w:r>
      <w:r w:rsidR="005D3B75" w:rsidRPr="0057254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7254F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="005D3B75" w:rsidRPr="0057254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7254F">
        <w:rPr>
          <w:rFonts w:ascii="Times New Roman" w:hAnsi="Times New Roman"/>
          <w:b/>
          <w:sz w:val="24"/>
          <w:szCs w:val="24"/>
          <w:lang w:val="bg-BG"/>
        </w:rPr>
        <w:t>/2023г.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на основание чл.94, ал.2, чл.99, ал.2 и ал.3 от 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, чл. 19, ал. 1 от 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 (Наредбата по ОВОС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) и във връзка с чл. 31 от 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 xml:space="preserve">Закон за биологичното разнообразие (ЗБР) 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и чл. </w:t>
      </w:r>
      <w:r w:rsidR="007A78C5" w:rsidRPr="0057254F">
        <w:rPr>
          <w:rFonts w:ascii="Times New Roman" w:hAnsi="Times New Roman"/>
          <w:sz w:val="24"/>
          <w:szCs w:val="24"/>
          <w:lang w:val="bg-BG"/>
        </w:rPr>
        <w:t>39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7A78C5" w:rsidRPr="0057254F">
        <w:rPr>
          <w:rFonts w:ascii="Times New Roman" w:hAnsi="Times New Roman"/>
          <w:sz w:val="24"/>
          <w:szCs w:val="24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 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и протокол от заседание на ЕЕС при РИОСВ – Хасково от </w:t>
      </w:r>
      <w:r w:rsidR="007A78C5" w:rsidRPr="0057254F">
        <w:rPr>
          <w:rFonts w:ascii="Times New Roman" w:hAnsi="Times New Roman"/>
          <w:sz w:val="24"/>
          <w:szCs w:val="24"/>
          <w:lang w:val="bg-BG"/>
        </w:rPr>
        <w:t>0</w:t>
      </w:r>
      <w:r w:rsidR="005D3B75" w:rsidRPr="0057254F">
        <w:rPr>
          <w:rFonts w:ascii="Times New Roman" w:hAnsi="Times New Roman"/>
          <w:sz w:val="24"/>
          <w:szCs w:val="24"/>
          <w:lang w:val="bg-BG"/>
        </w:rPr>
        <w:t>5</w:t>
      </w:r>
      <w:r w:rsidRPr="0057254F">
        <w:rPr>
          <w:rFonts w:ascii="Times New Roman" w:hAnsi="Times New Roman"/>
          <w:sz w:val="24"/>
          <w:szCs w:val="24"/>
          <w:lang w:val="bg-BG"/>
        </w:rPr>
        <w:t>.</w:t>
      </w:r>
      <w:r w:rsidR="005D3B75" w:rsidRPr="0057254F">
        <w:rPr>
          <w:rFonts w:ascii="Times New Roman" w:hAnsi="Times New Roman"/>
          <w:sz w:val="24"/>
          <w:szCs w:val="24"/>
          <w:lang w:val="bg-BG"/>
        </w:rPr>
        <w:t>07</w:t>
      </w:r>
      <w:r w:rsidRPr="0057254F">
        <w:rPr>
          <w:rFonts w:ascii="Times New Roman" w:hAnsi="Times New Roman"/>
          <w:sz w:val="24"/>
          <w:szCs w:val="24"/>
          <w:lang w:val="bg-BG"/>
        </w:rPr>
        <w:t>.202</w:t>
      </w:r>
      <w:r w:rsidR="007A78C5" w:rsidRPr="0057254F">
        <w:rPr>
          <w:rFonts w:ascii="Times New Roman" w:hAnsi="Times New Roman"/>
          <w:sz w:val="24"/>
          <w:szCs w:val="24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>г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ОДОБРЯВАМ: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Осъществяването на инвестиционно предложение: </w:t>
      </w:r>
      <w:r w:rsidR="005D3B75" w:rsidRPr="0057254F">
        <w:rPr>
          <w:rFonts w:ascii="Times New Roman" w:hAnsi="Times New Roman"/>
          <w:sz w:val="24"/>
          <w:szCs w:val="24"/>
          <w:lang w:val="bg-BG"/>
        </w:rPr>
        <w:t>„Преустройство на съществуваща сграда в леярна за цветни метали“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D3B75" w:rsidRPr="0057254F">
        <w:rPr>
          <w:rFonts w:ascii="Times New Roman" w:hAnsi="Times New Roman"/>
          <w:sz w:val="24"/>
          <w:szCs w:val="24"/>
          <w:lang w:val="bg-BG"/>
        </w:rPr>
        <w:t>„ЦВЕТНИ БГ“ ООД, ЕИК 206646777, гр. Свиленград, ул. „Граничар“ №166, вх. Е, ет.2, ап.34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предложение: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Целта на инвестиционното предложение е преустройство на съществуваща сграда в леярна за цветни метали.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Сграда 14708.50.407.1, област Хасково, община Свиленград, с. Генералово, е с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функц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предн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. Селскостопанска сграда, брой етажи 1, застроена площ 1120м</w:t>
      </w:r>
      <w:r w:rsidRPr="007B156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7254F">
        <w:rPr>
          <w:rFonts w:ascii="Times New Roman" w:hAnsi="Times New Roman"/>
          <w:sz w:val="24"/>
          <w:szCs w:val="24"/>
          <w:lang w:val="bg-BG"/>
        </w:rPr>
        <w:t>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На площадката ще функционира инсталация за топене и леене на алуминий, с максимален капацитет 12 t/24h готова продукция, състояща се от една индукционна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тиглова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пещ с електрическо нагряване. Капацитетът на инсталацията е 4 000 t/y алуминиеви отливки (12 t/24 h), работа на трисменен режим, ефективен фонд работно време (ЕФРВ) 334d/y или 8 016h.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За производството на алуминиеви заготовки от вторичен алуминий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балванки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) е предвидена употреба единствено на Шлака от пещи (отпадък с код 10 10 03), Прах 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прахови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частици (отпадък с код 12 01 04) и Алуминий (отпадък с код 17 04 02), приемани от други юридически и физически лица.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Индукционната пещ се състои от метален корпус, във вътрешността на който е монтирана индуктивна бобина, обграждаща огнеупорен тигел.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Индукционните пещи работят въз основа на формирането на вихрови електрически токове в тях. За тази цел се използва бобина за индуктивност, състояща се от намотка от дебел проводник, към който се подава източник на променлив ток, формиращ постоянно променящо се магнитно поле, в зависимост от текущата честота. Той провокира прехвърлянето на потоците към веществото (метала), поставено в тигела, разположен вътре в бобината, като се генерира голямо количество топлина.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Топенето на отпадъците, съдържащи алуминий (алуминиева шлака, алуминиев прах и алуминий) се извършва в определена последователност. Студеният материал, с помощта </w:t>
      </w:r>
      <w:r w:rsidRPr="0057254F">
        <w:rPr>
          <w:rFonts w:ascii="Times New Roman" w:hAnsi="Times New Roman"/>
          <w:sz w:val="24"/>
          <w:szCs w:val="24"/>
          <w:lang w:val="bg-BG"/>
        </w:rPr>
        <w:lastRenderedPageBreak/>
        <w:t xml:space="preserve">на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газокар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и чрез прилагане на ръчни манипулации се зарежда в пещта на отделни шаржове (800 -1000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kg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). Включват се нагревателните елементи, с поетапно повишаване на мощността и температурата. При температури по-ниски с 50 – 100 °С от температурата на топене на метала подгряването се изключва като допълнителното нагряване на метала се осъществява на инерционен термичен принцип от вътрешната повърхност на пещта. Максималната температура на тигела е в интервал 720 -750 °С. Температурата на топене на алуминиевите отпадъци е около 660 </w:t>
      </w:r>
      <w:r w:rsidR="007B1562">
        <w:rPr>
          <w:rFonts w:ascii="Times New Roman" w:hAnsi="Times New Roman"/>
          <w:sz w:val="24"/>
          <w:szCs w:val="24"/>
          <w:vertAlign w:val="superscript"/>
          <w:lang w:val="bg-BG"/>
        </w:rPr>
        <w:t>°</w:t>
      </w:r>
      <w:r w:rsidRPr="0057254F">
        <w:rPr>
          <w:rFonts w:ascii="Times New Roman" w:hAnsi="Times New Roman"/>
          <w:sz w:val="24"/>
          <w:szCs w:val="24"/>
          <w:lang w:val="bg-BG"/>
        </w:rPr>
        <w:t>С. Тигелът на пещта е изработен от огнеупорен материал (графит).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След хомогенизиране състава на стопилката в пещта, следва отливане на метала, което се осъществява посредством вградената в пещта хидравлична система. Чрез нея, металната стопилка се насочва за отливане. Отливането се извършва в предварително позиционирани постоянни форми за алуминиеви отливки с определени размери и форма. След края на всяка операция по леене се извършва охлаждане на пещта и извеждане на охладения остатък от шлака. Процесът на охлаждане на пещта се извършва чрез вграден охлаждащ елемент; като охлаждащ агент се използват оборотни охлаждащи води, организирани в охлаждащ цикъл.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В процеса на топене не се използват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флюси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, а при отливане не се предвижда използването на леярски сърца, матрици 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пресформи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. Леене се извършва единствено в постоянни леярски форми.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Непосредствено над индукционната пещ и леярските форми е монтирана технологична аспирация тип „Чадър“ за отвеждане на технологичните газове от процеса на топене и леене за пречистване, и организирано отвеждане в атмосферния въздух. Уловените чрез технологичната аспирация газове се охлаждат в топлообменник и се пречистват в батерия с 36 броя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филтри. След батерията с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ръкавните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филтри, пречистените технологични газове се отвеждат организирано в атмосферния въздух през едно изпускащо устройство (комин) с височина 12 m.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Процесът на третиране на отпадъците и производство на вторичен алуминий е периодичен.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Описание на основните технологични процеси в инсталацията: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Доставка, приемане и съхранение на отпадъци: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Доставката на отпадъци, които се явяват суровини за разглежданата инсталация се извършва от физически и юридически лица, притежаващи документи, удостоверяващи основание за притежание на отпадъците (утвърдени работни листи за класификация на отпадъците, разрешителни/регистрационни документи по ЗУО или Комплексни разрешителни), в условията на актуални договори за предаване на отпадъци.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Суровините за преработка се доставят в балирано състояние (алуминий), в подходящи транспортни опаковки за многократна употреба на доставчиците, или в насипно състояние.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Транспортните средства след определяне на теглото на товара (чрез измерване на везна), постъпват в складово-производствената сграда и се позиционират в непосредствена близост до Площадка № 1, предназначена за предварително съхраняване на приеманите за третиране отпадъци.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Разтоварването на суровините се извършва по механизиран способ с индустриални МПС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газокари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). Клетките са преградени помежду си със стени, с оглед недопускане смесване на отпадъците, подлежащи на третиране.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Площадката е физически отделена от останалите съоръжения, с изградена трайна бетонова настилка и странична изолация от трите страни чрез стоманобетонни прегради. Площадката е разположена в закрита сграда, без възможност за проникване на дъждовни води, без връзка с канализацията, като е осигурено разделно съхранение в обособени клетки. Поставени са ясни надписи за вида и кода на съхраняваните отпадъци, и е посочен максималния капацитет на всяка клетка.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От площадка № 1 суровините (отпадъците), чрез вътрешно-заводски транспорт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газокари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) се транспортират до индукционната пещ.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lastRenderedPageBreak/>
        <w:t xml:space="preserve">Производство на вторичен алуминий чрез оползотворяване (стапяне и леене) на алуминиеви отпадъци - Шлака от пещи (отпадък с код 10 10 03), Прах 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прахови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частици (отпадък с код 12 01 04) и Алуминий (отпадък с код 17 04 02)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Отпадъците, подлежащи на третиране, чрез вътрешно-заводски транспорт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газокари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) се транспортират от съответните клетки на площадка № 1 до топилния участък.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Зареждането на тигела на индукционната пещ се извършва ръчно, на отделни шаржове.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След зареждане на необходимото количество отпадъци (800-1000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kg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)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тигелът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се поставя в тялото на пещта. Подава се електрическа мощност на индукционната бобина 20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, като се следи плавно повишаване на температурата до 100 °С. През равни интервали от 30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min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се повишава температурата на пещта със 100 °С, до достигане на температура от 400 °С. При достигане на тази температура, електрическата мощност се повишава на 50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до достигане на температура на тигела 750 °С. Температурата на топене на алуминиевите отпадъци е около 660 </w:t>
      </w:r>
      <w:r w:rsidR="007B1562">
        <w:rPr>
          <w:rFonts w:ascii="Times New Roman" w:hAnsi="Times New Roman"/>
          <w:sz w:val="24"/>
          <w:szCs w:val="24"/>
          <w:lang w:val="bg-BG"/>
        </w:rPr>
        <w:t>°</w:t>
      </w:r>
      <w:r w:rsidRPr="0057254F">
        <w:rPr>
          <w:rFonts w:ascii="Times New Roman" w:hAnsi="Times New Roman"/>
          <w:sz w:val="24"/>
          <w:szCs w:val="24"/>
          <w:lang w:val="bg-BG"/>
        </w:rPr>
        <w:t>С.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След хомогенизиране състава на стопилката в пещта, следва отливане на метала, което се осъществява посредством вградената в пещта хидравлична система. Чрез нея, металната стопилка се насочва за отливане. Отливането се извършва в предварително позиционирани форми за алуминиеви отливки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балванки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) с определени размери. Формираната стопилка гравитачно чрез улей (канал) се направлява към огнеупорни форми за леене.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Следва охлаждане на пещта и извеждане на охладения остатък от шлака. Процесът на охлаждане на пещта се извършва чрез вградена охлаждаща система; като охлаждащ агент се използват оборотни охлаждащи води, организирани в охлаждащ цикъл.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Генерираните на площадката отпадъци (шлака, прах от димни газове и др.) ще се съхраняват разделно на обособени места – 4 бр. клетки в закрито помещение.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 топилната пещ се извършва операция R4 - рециклиране/възстановяване на метали и метални съединения, по отношение на влаганите за третиране отпадъци, упоменати по-горе.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Отлетите детайли (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балванки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>) от вторичен алуминий, се изваждат от леярските форми след охлаждане и се транспортират до участък (склад) за готова продукция.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Система за охлаждане на пещта и на отработените технологични газове с оборотни охлаждащи води: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 производствения процес, за охлаждане на индукционната пещ след приключване на процеса по стапяне и леене е планирана употреба на оборотни охлаждащи води. Оборотните охлаждащи води са организирани в охлаждащ цикъл. Охлаждането на топилната пещ е решено чрез изпълнение на топлообменник тип „водна риза” в корпуса на пещта. Топлообменникът е свързан посредством тръби с 2 броя хоризонтални охлаждащи резервоари (HDPE), всеки с обем 10 m</w:t>
      </w:r>
      <w:r w:rsidRPr="001B31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>. Циркулацията на охлаждащите води се осъществява с центробежна помпа с дебит 20 m</w:t>
      </w:r>
      <w:r w:rsidRPr="001B31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>/h, свързана с тръбопроводни линии и арматура.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На резервоарите са монтирани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нивомери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с превключватели за по ниско и високо ниво. Центробежната помпа е оборудвана с местен контролен панел, опция за дистанционно управление и управление по ниво. Направляването на охлаждащите води между топлообменника и охлаждащите резервоари се извършва с магнитни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трипътни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вентили.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Центробежната помпа засмуква и нагнетява студена вода от охлаждащ резервоар № 1 към водната риза на пещта (топлообменник), където охлаждащите води отнемат топлината на пещта, загряват се до t ~55°C и се връщат в резервоар № 1 за охлаждане. При достигане на температура на охлаждащите води в резервоар № 1 до t ~55°C, същия се изключва от охлаждащия цикъл и автоматично в схемата се включва резервоар № 2. Докато водите циркулират между топлообменника и резервоар № 2, в резервоар № 1 се извършва охлаждане на задържаните оборотни води. Резервоар № 1 се включва в процеса на охлаждане след достигане на температура t ~55°C в резервоар № 2.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lastRenderedPageBreak/>
        <w:t xml:space="preserve">За охлаждане на технологичните газове, уловени в засмукващата аспирация над пещта и леярските форми (калъпи) е предвиден охладител (топлообменник) преди пречиствателното съоръжение батерия с 36 броя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филтри. Целта на този охладител е да понижи температурата на горещите технологични газове до t ~50°C. Охлаждането на охладителя се извършва с оборотни охлаждащи води от гореописания охлаждащ воден цикъл, чрез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от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нагнетателната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линия и връщане на горещи води в линията за гореща вода.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Загубите от изпарение от двата резервоара се допълват със свежи води от водопроводната мрежа. Оборотните охлаждащи води не са замърсени с опасни или приоритетно опасни вещества. Не е планирано добавяне на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биоцидни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препарати към охлаждащите води. Не се планира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на охлаждащи води.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Отвеждане и пречистване на отпадъчните технологични газове: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Технологичните газове, формирани при стапяне на отпадъците, подлагани на третиране, както и такива, образувани при леене на стопилката в леярските форми се засмукват от технологична аспирация тип „чадър“. Чрез вентилационна тръба, отработените технологични газове постъпват в охладител (топлообменник) за охлаждане до температура t ~50°C. Охлаждането се извършва с оборотни охлаждащи води. Охладените технологични газове след охладителя се отвеждат в батерия с 36 броя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филтри, всеки от които с диаметър ф 300 и дължина 2 m, при обща филтрираща повърхност за пречиствателното съоръжение – 67,8 m</w:t>
      </w:r>
      <w:r w:rsidRPr="001B31D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7254F">
        <w:rPr>
          <w:rFonts w:ascii="Times New Roman" w:hAnsi="Times New Roman"/>
          <w:sz w:val="24"/>
          <w:szCs w:val="24"/>
          <w:lang w:val="bg-BG"/>
        </w:rPr>
        <w:t>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 топилната пещ, която се явява емитер на отработени технологични газове, формирани стапянето на алуминия се образува прахообразна шлака. Фино дисперсна прахообразна шлака се образува и при процеса на отливане на стопилката в леярските форми. Шлаката е продукт на странични процеси на окисление на алуминия при температурата на стапяне. Дължи се на протичане на окислителни процеси между стопилката и кислорода, наличен във въздуха.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Целта на пречиствателната система е именно да улови и задържи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праховите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частици на унесената с технологичните газове шлака. За целта охладения в охладителя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прахов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поток се подава в батерия с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филтри, състояща се от 36 броя текстилни ръкави. Праховите частици се задържат по ръкавите, а пречистените технологични газове напускат апарата през вентилационен отвор и се отвеждат в атмосферния въздух през едно изпускащо устройство (комин) с височина 12m. В батерията с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 непрекъснато и автоматизирано се следи промяната в налягането на газовия поток преди и след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ръкавните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филтри. При повишаване на налягането преди филтруващите елементи или при спад в налягането след тях се извършва импулсна регенерация на филтруващата повърхност. Използва се сгъстен въздух, който се подава в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противоток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на флуида. Сгъстения въздух се осигурява от винтов компресор. По този начин се извършва освобождаване на филтруващите ръкави от задържания прах. Праха от ръкавите, при процеса на регенерация се събира в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прахоулавящата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камера на батерията с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ръкавни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филтри, от където периодично се извежда и предава за обезвреждане на оторизирани фирми.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В сградата на леярната не е предвидено питейно-битово водоснабдяване, поради пожароопасност. За работещите течаща вода за питейно-битови нужди ще бъде осигурена от новопроектирано водопроводно отклонение в битово помещение за работещите 3-5 човека на инсталацията за леене на цветни метали, което ще бъде свързано с водопроводната мрежа. Генерираните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битово-фекални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води ще се подават чрез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площадковата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канализация във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яма с обем 12м</w:t>
      </w:r>
      <w:r w:rsidRPr="001B31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>. По технология не се образуват отпадъчни производствени води.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 хода на процедурата, възложителят е заявил намерение, към доклада за ОВОС, да се разработи и приложи оценката по чл.99а на ЗООС. След проведени консултации, съгласно писмо с изх. № КР-1251/12.04.2023г. ИАОС изразява становище, че не е представена информация за всички параметри на прилаганата техника, поради което не може да се направи заключение за осигуряване прилагането на най-добри налични техники (НДНТ).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 че УПИ II, кв.36 по плана на с. Генералово, общ. Свиленград (имот с идентификатор 14708.50.407), за който се предвижда преустройство на съществуваща сграда в леярна за цветни метали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В непосредствена близост до имота е разположена защитена зона BG0000212 „Сакар” за опазване на природните местообитания, обявена със Заповед № РД-313/31.03.2021г.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Инвестиционното предложение е подложено на оценка за съвместимостта му с предмета и целите на опазване на защитените зони по реда на чл.31, ал.4 във връзка с ал.1 от ЗБР и чл.2, ал.1, т.1 от Наредбата за ОС.</w:t>
      </w:r>
    </w:p>
    <w:p w:rsidR="006A617B" w:rsidRPr="0057254F" w:rsidRDefault="006A617B" w:rsidP="006A617B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На основание чл.39, ал.3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инвестиционното предложение няма вероятност да окаже значително отрицателно въздействие върху природни местообитания, популации и местообитания на видове, предмет на опазване в горецитираната защитена зона.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Поради следните мотиви и фактически основания:</w:t>
      </w: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bCs/>
          <w:iCs/>
          <w:sz w:val="24"/>
          <w:szCs w:val="24"/>
          <w:lang w:val="bg-BG"/>
        </w:rPr>
        <w:t>В доклада за ОВОС е анализирано и оценено инвестиционното предложение, съобразено с действащите в страната и европейското законодателство норми за качество на околната среда и изпълнението на принципите за намаляване на риска за човешкото здраве и осигуряване на устойчиво развитие.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 доклада за ОВОС е разгледано съществуващото състояние на компонентите и факторите на околната среда и са оценени евентуалните въздействия от цялостното предложение.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Извършено е математическо моделиране на разпространението на замърсители в приземния слой на атмосферата, емитирани от инсталацията за производство на вторичен алуминий.</w:t>
      </w:r>
      <w:r w:rsidRPr="0057254F">
        <w:rPr>
          <w:rFonts w:ascii="Times New Roman" w:hAnsi="Times New Roman"/>
          <w:sz w:val="24"/>
          <w:szCs w:val="24"/>
        </w:rPr>
        <w:t xml:space="preserve"> </w:t>
      </w:r>
      <w:r w:rsidRPr="0057254F">
        <w:rPr>
          <w:rFonts w:ascii="Times New Roman" w:hAnsi="Times New Roman"/>
          <w:sz w:val="24"/>
          <w:szCs w:val="24"/>
          <w:lang w:val="bg-BG"/>
        </w:rPr>
        <w:t>Резултатите</w:t>
      </w:r>
      <w:r w:rsidRPr="0057254F">
        <w:rPr>
          <w:rFonts w:ascii="Times New Roman" w:hAnsi="Times New Roman"/>
          <w:sz w:val="24"/>
          <w:szCs w:val="24"/>
        </w:rPr>
        <w:t xml:space="preserve"> </w:t>
      </w:r>
      <w:r w:rsidRPr="0057254F">
        <w:rPr>
          <w:rFonts w:ascii="Times New Roman" w:hAnsi="Times New Roman"/>
          <w:sz w:val="24"/>
          <w:szCs w:val="24"/>
          <w:lang w:val="bg-BG"/>
        </w:rPr>
        <w:t>от математическото моделиране на разсейването на вредните вещества показват, че емисиите от ФПЧ</w:t>
      </w:r>
      <w:r w:rsidRPr="0057254F">
        <w:rPr>
          <w:rFonts w:ascii="Times New Roman" w:hAnsi="Times New Roman"/>
          <w:sz w:val="24"/>
          <w:szCs w:val="24"/>
          <w:vertAlign w:val="subscript"/>
          <w:lang w:val="bg-BG"/>
        </w:rPr>
        <w:t>10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 при въвеждането в експлоатация на леярна за цветни метали на „Цветни БГ“ ООД, с. Генералово, община Свиленград, няма да доведе до неблагоприятно въздействие върху качеството на атмосферния въздух в най-близките населени места.</w:t>
      </w:r>
    </w:p>
    <w:p w:rsidR="00C655E3" w:rsidRPr="0057254F" w:rsidRDefault="00C655E3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Водоснабдяването на обекта ще се осъществи от водопроводната мрежа на с. Генералово, общ. Свиленград, експлоатирана от „ВиК“ ЕООД, гр. Хасково.</w:t>
      </w:r>
    </w:p>
    <w:p w:rsidR="00C655E3" w:rsidRPr="0057254F" w:rsidRDefault="00C655E3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Формираните отпадъчни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битово-фекални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води ще се отвеждат чрез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площадковата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канализация във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яма с обем 12м</w:t>
      </w:r>
      <w:r w:rsidRPr="0057254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57254F">
        <w:rPr>
          <w:rFonts w:ascii="Times New Roman" w:hAnsi="Times New Roman"/>
          <w:sz w:val="24"/>
          <w:szCs w:val="24"/>
          <w:lang w:val="bg-BG"/>
        </w:rPr>
        <w:t>. Производствени отпадъчни води няма да се образуват.</w:t>
      </w:r>
    </w:p>
    <w:p w:rsidR="00C655E3" w:rsidRPr="0057254F" w:rsidRDefault="007F7029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За охлаждане на индукционната пещ, след приключване на процеса по стапяне и леене, е планирана употреба на оборотни охлаждащи води в затворена система. Загубите от изпарение от двата резервоара ще се допълват със свежи води от водопроводната мрежа. Оборотните охлаждащи води няма да бъдат замърсени с опасни или приоритетно опасни вещества. Няма да се извършва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на охлаждащи води.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Генерираните отпадъци ще се третират съгласно </w:t>
      </w:r>
      <w:r w:rsidRPr="0057254F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57254F">
        <w:rPr>
          <w:rFonts w:ascii="Times New Roman" w:hAnsi="Times New Roman"/>
          <w:sz w:val="24"/>
          <w:szCs w:val="24"/>
          <w:lang w:val="bg-BG"/>
        </w:rPr>
        <w:t xml:space="preserve"> (ЗУО).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Предвид, че 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BG0000212 „Сакар”,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 (в урбанизираната територия), настоящото инвестиционно предложение не предполага значително увеличаване на безпокойството на </w:t>
      </w:r>
      <w:r w:rsidRPr="0057254F">
        <w:rPr>
          <w:rFonts w:ascii="Times New Roman" w:hAnsi="Times New Roman"/>
          <w:sz w:val="24"/>
          <w:szCs w:val="24"/>
          <w:lang w:val="bg-BG"/>
        </w:rPr>
        <w:lastRenderedPageBreak/>
        <w:t>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инвестиционното предложение определят, че реализацията му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инвестиционното предложение,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инвестиционното предложение,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Разгледана и оценена е „нулевата“ алтернатива и други алтернативни решения, като е достигнато до извода, че предложеният вариант е оптимален.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 xml:space="preserve">Съгласно становище на 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57254F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57254F">
        <w:rPr>
          <w:rFonts w:ascii="Times New Roman" w:hAnsi="Times New Roman"/>
          <w:sz w:val="24"/>
          <w:szCs w:val="24"/>
          <w:lang w:val="bg-BG"/>
        </w:rPr>
        <w:t xml:space="preserve"> район” ДОВОС съдържа необходимата информация за вземане на компетентно решение по оценка на въздействието от реализирането на инвестиционното предложение върху водите и водните екосистеми.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Относно направените в доклада анализ и оценка на значимостта на положителните и отрицателните въздействия върху човека и възможния здравен риск от осъществяването на инвестиционното предложение, е получено становище от РЗИ – Хасково с изх. №10-01-96#7/26.06.2023г., че липсва основание за наличие на значително въздействие и възникване на риск за човешкото здраве при реализирането на инвестиционното предложение.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Съгласно изискванията на чл. 103, ал. 1 от ЗООС възложителят е извършил класификация на предприятието/съоръжението в съответствие с критериите и правилата на приложение 3 от ЗООС и я е документирал. Въз основа на информацията в доклада е установено, че предприятието/съоръжението не се класифицира с нисък или висок рисков потенциал и не попада в обхвата на Раздел І, глава седма на ЗООС, и не са приложими изискванията на чл. 99б ЗООС.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С писмо изх. №32-00-165/29.11.2022г. АПИ не възразява срещу реализацията на ИП, при спазване на поставените в решението условия.</w:t>
      </w:r>
    </w:p>
    <w:p w:rsidR="007E1D4C" w:rsidRPr="0057254F" w:rsidRDefault="007E1D4C" w:rsidP="007E1D4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sz w:val="24"/>
          <w:szCs w:val="24"/>
          <w:lang w:val="bg-BG"/>
        </w:rPr>
        <w:t>При провеждане на процедурата по ОВОС са извършени консултации със заинтересувани лица и институции. Осигурен е едномесечен обществен достъп до доклада за ОВОС с всички приложения до него. Изготвени са протоколи от проведените обществени обсъждания, с приложени към тях списъци на присъствалите. През периода, определен за обществен достъп, както и по време на общественото обсъждане, не са изразени мнения, както и не са постъпвали писмени възражения или становища.</w:t>
      </w:r>
    </w:p>
    <w:p w:rsidR="00AD1FA4" w:rsidRPr="0057254F" w:rsidRDefault="00AD1FA4" w:rsidP="00641818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1818" w:rsidRPr="0057254F" w:rsidRDefault="00641818" w:rsidP="00641818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>И ПРИ СЛЕДНИТЕ УСЛОВИЯ:</w:t>
      </w:r>
    </w:p>
    <w:p w:rsidR="00193810" w:rsidRPr="0057254F" w:rsidRDefault="00193810" w:rsidP="00193810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7254F" w:rsidRPr="00F97A0A" w:rsidRDefault="0057254F" w:rsidP="00326BA5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7A0A">
        <w:rPr>
          <w:rFonts w:ascii="Times New Roman" w:hAnsi="Times New Roman"/>
          <w:sz w:val="24"/>
          <w:szCs w:val="24"/>
        </w:rPr>
        <w:t>Дейността попада в приложение №4 от ЗООС, поради което изграждането и експлоатацията на инсталацията се разрешава след издаването на комплексно разрешително.</w:t>
      </w:r>
      <w:r w:rsidRPr="00F97A0A">
        <w:rPr>
          <w:rFonts w:cs="Arial"/>
          <w:color w:val="222222"/>
          <w:sz w:val="24"/>
          <w:szCs w:val="24"/>
          <w:lang w:eastAsia="bg-BG"/>
        </w:rPr>
        <w:t xml:space="preserve"> </w:t>
      </w:r>
      <w:r w:rsidRPr="00F97A0A">
        <w:rPr>
          <w:rFonts w:ascii="Times New Roman" w:hAnsi="Times New Roman"/>
          <w:sz w:val="24"/>
          <w:szCs w:val="24"/>
        </w:rPr>
        <w:t xml:space="preserve">Комплексното разрешително е </w:t>
      </w:r>
      <w:r w:rsidRPr="00F97A0A">
        <w:rPr>
          <w:rFonts w:ascii="Times New Roman" w:hAnsi="Times New Roman"/>
          <w:b/>
          <w:sz w:val="24"/>
          <w:szCs w:val="24"/>
        </w:rPr>
        <w:t>задължително</w:t>
      </w:r>
      <w:r w:rsidRPr="00F97A0A">
        <w:rPr>
          <w:rFonts w:ascii="Times New Roman" w:hAnsi="Times New Roman"/>
          <w:sz w:val="24"/>
          <w:szCs w:val="24"/>
        </w:rPr>
        <w:t xml:space="preserve"> за издаване на разрешение за строеж, като се има предвид, че при провеждане на процедурата по ОВОС </w:t>
      </w:r>
      <w:r w:rsidRPr="00F97A0A">
        <w:rPr>
          <w:rFonts w:ascii="Times New Roman" w:hAnsi="Times New Roman"/>
          <w:b/>
          <w:bCs/>
          <w:iCs/>
          <w:sz w:val="24"/>
          <w:szCs w:val="24"/>
        </w:rPr>
        <w:t>не е представена</w:t>
      </w:r>
      <w:r w:rsidRPr="00F97A0A">
        <w:rPr>
          <w:rFonts w:ascii="Times New Roman" w:hAnsi="Times New Roman"/>
          <w:bCs/>
          <w:iCs/>
          <w:sz w:val="24"/>
          <w:szCs w:val="24"/>
        </w:rPr>
        <w:t xml:space="preserve"> информация за всички параметри на прилаганата техника, поради което ИАОС </w:t>
      </w:r>
      <w:r w:rsidRPr="00F97A0A">
        <w:rPr>
          <w:rFonts w:ascii="Times New Roman" w:hAnsi="Times New Roman"/>
          <w:b/>
          <w:bCs/>
          <w:iCs/>
          <w:sz w:val="24"/>
          <w:szCs w:val="24"/>
        </w:rPr>
        <w:t>не може да се направи заключение</w:t>
      </w:r>
      <w:r w:rsidRPr="00F97A0A">
        <w:rPr>
          <w:rFonts w:ascii="Times New Roman" w:hAnsi="Times New Roman"/>
          <w:bCs/>
          <w:iCs/>
          <w:sz w:val="24"/>
          <w:szCs w:val="24"/>
        </w:rPr>
        <w:t xml:space="preserve"> за осигуряване прилагането на най-добри налични техники (НДНТ)</w:t>
      </w:r>
      <w:r w:rsidRPr="00F97A0A">
        <w:rPr>
          <w:rFonts w:ascii="Times New Roman" w:hAnsi="Times New Roman"/>
          <w:sz w:val="24"/>
          <w:szCs w:val="24"/>
        </w:rPr>
        <w:t xml:space="preserve">, в съответствие с </w:t>
      </w:r>
      <w:hyperlink r:id="rId9" w:history="1">
        <w:r w:rsidRPr="00F97A0A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</w:rPr>
          <w:t>чл. 99а</w:t>
        </w:r>
      </w:hyperlink>
      <w:r w:rsidRPr="00F97A0A">
        <w:rPr>
          <w:rFonts w:ascii="Times New Roman" w:hAnsi="Times New Roman"/>
          <w:sz w:val="24"/>
          <w:szCs w:val="24"/>
        </w:rPr>
        <w:t xml:space="preserve"> от ЗООС.</w:t>
      </w:r>
      <w:r w:rsidR="00F97A0A">
        <w:rPr>
          <w:rFonts w:ascii="Times New Roman" w:hAnsi="Times New Roman"/>
          <w:sz w:val="24"/>
          <w:szCs w:val="24"/>
        </w:rPr>
        <w:t xml:space="preserve"> </w:t>
      </w:r>
      <w:r w:rsidRPr="00F97A0A">
        <w:rPr>
          <w:rFonts w:ascii="Times New Roman" w:hAnsi="Times New Roman"/>
          <w:sz w:val="24"/>
          <w:szCs w:val="24"/>
        </w:rPr>
        <w:t xml:space="preserve">Дейностите по третиране на отпадъци да се извършват при наличие на комплексно разрешително, издадено по реда на глава седма, раздел II от </w:t>
      </w:r>
      <w:r w:rsidRPr="00F97A0A">
        <w:rPr>
          <w:rFonts w:ascii="Times New Roman" w:hAnsi="Times New Roman"/>
          <w:i/>
          <w:sz w:val="24"/>
          <w:szCs w:val="24"/>
        </w:rPr>
        <w:t>Закона за опазване на околната среда</w:t>
      </w:r>
      <w:r w:rsidRPr="00F97A0A">
        <w:rPr>
          <w:rFonts w:ascii="Times New Roman" w:hAnsi="Times New Roman"/>
          <w:sz w:val="24"/>
          <w:szCs w:val="24"/>
        </w:rPr>
        <w:t>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lastRenderedPageBreak/>
        <w:t xml:space="preserve">Да се извърши класификация на отпадъци, които ще се генерират при реализация на инвестиционното предложение по реда и в сроковете по </w:t>
      </w:r>
      <w:r w:rsidRPr="0057254F">
        <w:rPr>
          <w:rFonts w:ascii="Times New Roman" w:hAnsi="Times New Roman"/>
          <w:i/>
          <w:sz w:val="24"/>
          <w:szCs w:val="24"/>
        </w:rPr>
        <w:t>Наредба № 2 от 23.07.2014 г. за класификация на отпадъците.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>Образуваните опасни отпадъци да се съхраняват разделно на закрити площадки или помещения с ограничен достъп, като се осигурят подходящи затворени съдове.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 xml:space="preserve">Да не се допуска смесването на опасни отпадъци с други опасни отпадъци или с други отпадъци, вещества или материали, както и на </w:t>
      </w:r>
      <w:proofErr w:type="spellStart"/>
      <w:r w:rsidRPr="0057254F">
        <w:rPr>
          <w:rFonts w:ascii="Times New Roman" w:hAnsi="Times New Roman"/>
          <w:sz w:val="24"/>
          <w:szCs w:val="24"/>
        </w:rPr>
        <w:t>оползотворими</w:t>
      </w:r>
      <w:proofErr w:type="spellEnd"/>
      <w:r w:rsidRPr="0057254F">
        <w:rPr>
          <w:rFonts w:ascii="Times New Roman" w:hAnsi="Times New Roman"/>
          <w:sz w:val="24"/>
          <w:szCs w:val="24"/>
        </w:rPr>
        <w:t xml:space="preserve"> отпадъци с </w:t>
      </w:r>
      <w:proofErr w:type="spellStart"/>
      <w:r w:rsidRPr="0057254F">
        <w:rPr>
          <w:rFonts w:ascii="Times New Roman" w:hAnsi="Times New Roman"/>
          <w:sz w:val="24"/>
          <w:szCs w:val="24"/>
        </w:rPr>
        <w:t>неоползотворими</w:t>
      </w:r>
      <w:proofErr w:type="spellEnd"/>
      <w:r w:rsidRPr="0057254F">
        <w:rPr>
          <w:rFonts w:ascii="Times New Roman" w:hAnsi="Times New Roman"/>
          <w:sz w:val="24"/>
          <w:szCs w:val="24"/>
        </w:rPr>
        <w:t xml:space="preserve"> отпадъци.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>Приемането и предаването на отпадъците да се извършва само въз основа на писмен договор с лица, притежаващи документ по чл. 35 от ЗУО за отпадъци със съответния код съгласно наредбата по чл. 3 от ЗУО.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 xml:space="preserve">Преди разрешаване ползването на строежите, във връзка с изпълнение изискванията на чл.16 от </w:t>
      </w:r>
      <w:r w:rsidRPr="0057254F">
        <w:rPr>
          <w:rFonts w:ascii="Times New Roman" w:hAnsi="Times New Roman"/>
          <w:i/>
          <w:sz w:val="24"/>
          <w:szCs w:val="24"/>
        </w:rPr>
        <w:t>Закона за чистотата на атмосферния въздух</w:t>
      </w:r>
      <w:r w:rsidRPr="0057254F">
        <w:rPr>
          <w:rFonts w:ascii="Times New Roman" w:hAnsi="Times New Roman"/>
          <w:sz w:val="24"/>
          <w:szCs w:val="24"/>
        </w:rPr>
        <w:t>, да се извърши измерване на емисиите на вредни вещества, изпускани в атмосферния въздух от инсталацията за производство на вторичен алуминий на „Цветни БГ“ ООД.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 xml:space="preserve">Да се поддържа в наличност доклад от извършената класификация по чл. 103, ал.1 от ЗООС, съгласно изискването на чл. 6, ал. 1 от </w:t>
      </w:r>
      <w:r w:rsidRPr="0057254F">
        <w:rPr>
          <w:rFonts w:ascii="Times New Roman" w:hAnsi="Times New Roman"/>
          <w:i/>
          <w:sz w:val="24"/>
          <w:szCs w:val="24"/>
        </w:rPr>
        <w:t>Наредбата за предотвратяване на големи аварии с опасни вещества и ограничаване на последствията от тях</w:t>
      </w:r>
      <w:r w:rsidRPr="0057254F">
        <w:rPr>
          <w:rFonts w:ascii="Times New Roman" w:hAnsi="Times New Roman"/>
          <w:sz w:val="24"/>
          <w:szCs w:val="24"/>
        </w:rPr>
        <w:t xml:space="preserve"> и да се представя при поискване на органите по чл. 148, ал. 3 на ЗООС.</w:t>
      </w:r>
    </w:p>
    <w:p w:rsidR="0057254F" w:rsidRPr="0057254F" w:rsidRDefault="0057254F" w:rsidP="0057254F">
      <w:pPr>
        <w:pStyle w:val="a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54F">
        <w:rPr>
          <w:rFonts w:ascii="Times New Roman" w:hAnsi="Times New Roman"/>
          <w:sz w:val="24"/>
          <w:szCs w:val="24"/>
        </w:rPr>
        <w:t>Да се поддържа в наличност информация за регистрационния статус на възстановените вещества съгласно чл. 2(7), г), (</w:t>
      </w:r>
      <w:proofErr w:type="spellStart"/>
      <w:r w:rsidRPr="0057254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7254F">
        <w:rPr>
          <w:rFonts w:ascii="Times New Roman" w:hAnsi="Times New Roman"/>
          <w:sz w:val="24"/>
          <w:szCs w:val="24"/>
        </w:rPr>
        <w:t>)</w:t>
      </w:r>
      <w:r w:rsidRPr="0057254F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57254F">
        <w:rPr>
          <w:rFonts w:ascii="Times New Roman" w:eastAsia="Times New Roman" w:hAnsi="Times New Roman"/>
          <w:sz w:val="24"/>
          <w:szCs w:val="24"/>
        </w:rPr>
        <w:t>(i</w:t>
      </w:r>
      <w:proofErr w:type="spellStart"/>
      <w:r w:rsidRPr="0057254F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57254F">
        <w:rPr>
          <w:rFonts w:ascii="Times New Roman" w:eastAsia="Times New Roman" w:hAnsi="Times New Roman"/>
          <w:sz w:val="24"/>
          <w:szCs w:val="24"/>
        </w:rPr>
        <w:t>) от Регламент (ЕО) 1907/2006 (REACH).</w:t>
      </w:r>
    </w:p>
    <w:p w:rsidR="00641818" w:rsidRPr="00F97A0A" w:rsidRDefault="00641818" w:rsidP="007E11A5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7A0A">
        <w:rPr>
          <w:rFonts w:ascii="Times New Roman" w:hAnsi="Times New Roman"/>
          <w:b/>
          <w:sz w:val="24"/>
          <w:szCs w:val="24"/>
        </w:rPr>
        <w:t>План за изпълнение на мерките по чл. 96, ал. 1, т. 7 от ЗООС</w:t>
      </w:r>
    </w:p>
    <w:p w:rsidR="00193810" w:rsidRPr="0057254F" w:rsidRDefault="00193810" w:rsidP="00193810">
      <w:pPr>
        <w:tabs>
          <w:tab w:val="left" w:pos="851"/>
          <w:tab w:val="left" w:pos="993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49"/>
        <w:gridCol w:w="1985"/>
        <w:gridCol w:w="2410"/>
      </w:tblGrid>
      <w:tr w:rsidR="00712AF3" w:rsidRPr="0057254F" w:rsidTr="005201DE">
        <w:trPr>
          <w:trHeight w:val="20"/>
          <w:tblHeader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2AF3" w:rsidRPr="00D17422" w:rsidRDefault="00712AF3" w:rsidP="00DA7911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Период (фаза) на изпълнение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Очакван резултат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Атмосферен въздух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12AF3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1.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D17422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Собствени непрекъснати и периодични измервания на замърсителите в съответствие с </w:t>
            </w:r>
            <w:r w:rsidR="00AA66BE">
              <w:rPr>
                <w:rFonts w:ascii="Times New Roman" w:hAnsi="Times New Roman"/>
                <w:sz w:val="22"/>
                <w:szCs w:val="22"/>
                <w:lang w:val="bg-BG"/>
              </w:rPr>
              <w:t>Р</w:t>
            </w:r>
            <w:r w:rsidR="00AA66BE" w:rsidRPr="00D17422">
              <w:rPr>
                <w:rFonts w:ascii="Times New Roman" w:hAnsi="Times New Roman"/>
                <w:sz w:val="22"/>
                <w:szCs w:val="22"/>
                <w:lang w:val="bg-BG"/>
              </w:rPr>
              <w:t>ешение за изпълнение (ЕС) 2016/1032 на Комисията</w:t>
            </w: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от 13 юни 2016 година за формулиране на заключения за най-добри налични техники (НДНТ) в цветната металургия съгласно Директива 2010/75/ЕС на Европейския парламент и на Съвета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>Организирани емисии на вредни вещества под НДЕ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12AF3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2.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 се изгради точка (съгласно нормативните изисквания)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з</w:t>
            </w: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>а мониторинг на емисиите от ИУ, която да се съгласува с РИОСВ.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25D02">
              <w:rPr>
                <w:rFonts w:ascii="Times New Roman" w:hAnsi="Times New Roman"/>
                <w:sz w:val="22"/>
                <w:szCs w:val="22"/>
                <w:lang w:val="bg-BG"/>
              </w:rPr>
              <w:t>Осъществяване контрол на емисиите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12AF3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3.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 се изготви и съгласува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РИОСВ План за собствен мониторинг по компонент „Въздух“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AA66BE" w:rsidP="00AA66BE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6BE">
              <w:rPr>
                <w:rFonts w:ascii="Times New Roman" w:hAnsi="Times New Roman"/>
                <w:sz w:val="22"/>
                <w:szCs w:val="22"/>
                <w:lang w:val="bg-BG"/>
              </w:rPr>
              <w:t>Гарантиране на минимално въздействие върху околната среда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Води</w:t>
            </w:r>
          </w:p>
        </w:tc>
      </w:tr>
      <w:tr w:rsidR="00D85058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85058">
              <w:rPr>
                <w:rFonts w:ascii="Times New Roman" w:hAnsi="Times New Roman"/>
                <w:sz w:val="22"/>
                <w:szCs w:val="22"/>
                <w:lang w:val="bg-BG"/>
              </w:rPr>
              <w:t>Да не се допуска замърсяване на повърхностни и подземни води от дейностите по ИП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Строителство и 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Предотвратяване на замърсяване на водни обекти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12AF3" w:rsidRPr="00D17422" w:rsidRDefault="00D85058" w:rsidP="00DA791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Шум</w:t>
            </w:r>
          </w:p>
        </w:tc>
      </w:tr>
      <w:tr w:rsidR="00D85058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1.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D8505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След пускане в действие на инсталацията за леене на цветни метали да се направи оценка на нивото на шум по контура на площадката и на мястото на най-близо разположената жилищна сграда от с. Генералово. Резултатите да бъдат представени в РИОСВ-Хасково за преценка и определяне на по-нататъшни действия от инвеститора.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58" w:rsidRPr="00D17422" w:rsidRDefault="00D85058" w:rsidP="00D85058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25D02">
              <w:rPr>
                <w:rFonts w:ascii="Times New Roman" w:hAnsi="Times New Roman"/>
                <w:sz w:val="22"/>
                <w:szCs w:val="22"/>
                <w:lang w:val="bg-BG"/>
              </w:rPr>
              <w:t>Ограничаване на възможното шумово въздействие върху ОС и населението на с. Генералово и района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12AF3" w:rsidRPr="00D17422" w:rsidRDefault="00712AF3" w:rsidP="00DA79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Почви</w:t>
            </w:r>
          </w:p>
        </w:tc>
      </w:tr>
      <w:tr w:rsidR="00724E35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D17422" w:rsidRDefault="00724E35" w:rsidP="00724E35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1.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D17422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Изкопните дейности да се извършат като: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</w:t>
            </w:r>
            <w:r w:rsidRPr="00724E35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lastRenderedPageBreak/>
              <w:t>предварително бъде отнет хумусния слой и депониран на определено място на площадката на ИП;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</w:t>
            </w:r>
            <w:r w:rsidRPr="00724E35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отнетите земни маси да се съхраняват отдел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но от хумуса на площадка на ИП; </w:t>
            </w:r>
            <w:r w:rsidRPr="00724E35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монтажните дейности да се извършват с изправни машини и съоръжения с оглед предотвратяване залпови замърсявания на територията на ИП с нефтопродукти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D17422" w:rsidRDefault="00724E35" w:rsidP="00724E35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 xml:space="preserve">Строителство и </w:t>
            </w: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D17422" w:rsidRDefault="00724E35" w:rsidP="00724E35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 xml:space="preserve">Опазване на водите и </w:t>
            </w: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почвите от замърсяване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12AF3" w:rsidRPr="00D17422" w:rsidRDefault="00724E35" w:rsidP="00DA791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lastRenderedPageBreak/>
              <w:t>ОТПАДЪЦИ И ОПАСНИ ВЕЩЕСТВА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8A48F6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712AF3" w:rsidRPr="00D1742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Обособяване ва места за съхраняване на различните по вид отпадъци, които ще се образуват и третират на територията на обекта.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12AF3" w:rsidP="00DA7911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Строителство</w:t>
            </w:r>
            <w:r w:rsidR="00724E35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, 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24E35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proofErr w:type="spellStart"/>
            <w:r w:rsidRPr="00724E35">
              <w:rPr>
                <w:rFonts w:ascii="Times New Roman" w:hAnsi="Times New Roman"/>
                <w:sz w:val="22"/>
                <w:szCs w:val="22"/>
                <w:lang w:val="ru-RU"/>
              </w:rPr>
              <w:t>Поддържане</w:t>
            </w:r>
            <w:proofErr w:type="spellEnd"/>
            <w:r w:rsidRPr="00724E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чистота на площадка</w:t>
            </w: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та на ИП и на терените около нея</w:t>
            </w:r>
          </w:p>
        </w:tc>
      </w:tr>
      <w:tr w:rsidR="00712AF3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8A48F6" w:rsidP="00DA791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="00712AF3" w:rsidRPr="00D1742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Генерираните опасни производствени отпадъци да се съхраняват в </w:t>
            </w:r>
            <w:proofErr w:type="spellStart"/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корозоустойчиви</w:t>
            </w:r>
            <w:proofErr w:type="spellEnd"/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контейнери в помещение с ограничен достъп на хора.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24E35" w:rsidP="00DA7911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3" w:rsidRPr="00D17422" w:rsidRDefault="00724E35" w:rsidP="00DA7911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Гарантиране опазването на територията на площадката на ИП и района около нея от замърсяване</w:t>
            </w:r>
          </w:p>
        </w:tc>
      </w:tr>
      <w:tr w:rsidR="00724E35" w:rsidRPr="00724E35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724E35" w:rsidRDefault="00724E35" w:rsidP="00724E35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3.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724E35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Управление на битовите отпадъци, образувани на територията на ИП по утвърдената схема на община Свиленград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724E35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5" w:rsidRPr="00724E35" w:rsidRDefault="00724E35" w:rsidP="00724E35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Поддържане чистота на площадката на ИП</w:t>
            </w:r>
          </w:p>
        </w:tc>
      </w:tr>
      <w:tr w:rsidR="0087780C" w:rsidRPr="0057254F" w:rsidTr="005B51DA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4.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Предаването на отпадъци за последващо третиране да става въз основа на договор с фирми, притежаващи разрешително и/или регистрационен документ за дейности с конкретния вид отпадък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724E35" w:rsidRDefault="0087780C" w:rsidP="0087780C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24E35"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0C" w:rsidRPr="00825D02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25D02">
              <w:rPr>
                <w:rFonts w:ascii="Times New Roman" w:hAnsi="Times New Roman"/>
                <w:sz w:val="22"/>
                <w:szCs w:val="22"/>
                <w:lang w:val="bg-BG"/>
              </w:rPr>
              <w:t>Гарантиране на устойчивото развитие на територия на ИП и района около площадката</w:t>
            </w:r>
          </w:p>
        </w:tc>
      </w:tr>
      <w:tr w:rsidR="0087780C" w:rsidRPr="0087780C" w:rsidTr="00756996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80C" w:rsidRPr="0087780C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5.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C" w:rsidRPr="0087780C" w:rsidRDefault="0087780C" w:rsidP="00BD65A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 се предотврати изпускането на химични вещества в самостоятелен вид и в смеси в почвите, водите и въздуха вследствие на разливи, разсипване или </w:t>
            </w:r>
            <w:proofErr w:type="spellStart"/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разпрашаване</w:t>
            </w:r>
            <w:proofErr w:type="spellEnd"/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, включително чрез използване на съдове и/или съоръжения за съхранение, съобразени с опасните свойства на съхраняваните химични вещества в самостоятелен вид или смеси. Да се осигурят и поддържат технически средства за улавяне на евентуа</w:t>
            </w:r>
            <w:r w:rsidR="00BD65AC"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ни разливи, включително подходящи адсорбенти</w:t>
            </w:r>
            <w:r w:rsidR="00BD65AC">
              <w:rPr>
                <w:rFonts w:ascii="Times New Roman" w:hAnsi="Times New Roman"/>
                <w:sz w:val="22"/>
                <w:szCs w:val="22"/>
                <w:lang w:val="bg-BG"/>
              </w:rPr>
              <w:t>,</w:t>
            </w: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които да гарантират пълното улавяне и последващо събиране</w:t>
            </w:r>
            <w:r w:rsidR="00BD65A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и/или</w:t>
            </w:r>
            <w:r w:rsidR="00BD65A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третиране на изтеклите вещества и смеси за складовете, в които се съхраняват.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80C" w:rsidRPr="0087780C" w:rsidRDefault="0087780C" w:rsidP="0087780C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87780C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Строителство, 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C" w:rsidRPr="0087780C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7780C">
              <w:rPr>
                <w:rFonts w:ascii="Times New Roman" w:hAnsi="Times New Roman"/>
                <w:sz w:val="22"/>
                <w:szCs w:val="22"/>
                <w:lang w:val="bg-BG"/>
              </w:rPr>
              <w:t>Опазване на земните недра, почвите и подземни води</w:t>
            </w:r>
          </w:p>
        </w:tc>
      </w:tr>
      <w:tr w:rsidR="0087780C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7780C" w:rsidRPr="00D17422" w:rsidRDefault="0087780C" w:rsidP="0087780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Биологично разнообразие</w:t>
            </w:r>
          </w:p>
        </w:tc>
      </w:tr>
      <w:tr w:rsidR="0087780C" w:rsidRPr="0057254F" w:rsidTr="005201DE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BD65A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87780C" w:rsidRPr="00D17422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BD65AC" w:rsidP="0087780C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BD65AC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При озеленяване на имота да не се използват инвазивни видове растения, предвид възможностите им за разпространяване и близостта на защитена зона BG0000212 „Сакар“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BD65A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0C" w:rsidRPr="00D17422" w:rsidRDefault="0087780C" w:rsidP="0087780C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Опазване на биологичното, разнообразие в района на ИП</w:t>
            </w:r>
          </w:p>
        </w:tc>
      </w:tr>
      <w:tr w:rsidR="0087780C" w:rsidRPr="0057254F" w:rsidTr="005201DE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7780C" w:rsidRPr="00D17422" w:rsidRDefault="0087780C" w:rsidP="008778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Културно</w:t>
            </w:r>
            <w:r w:rsidR="00BD65AC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-историческо</w:t>
            </w:r>
            <w:r w:rsidRPr="00D1742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наследство</w:t>
            </w:r>
          </w:p>
        </w:tc>
      </w:tr>
      <w:tr w:rsidR="006A45B9" w:rsidRPr="0057254F" w:rsidTr="001D39A6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B9" w:rsidRPr="00D17422" w:rsidRDefault="006A45B9" w:rsidP="006A45B9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17422">
              <w:rPr>
                <w:rFonts w:ascii="Times New Roman" w:hAnsi="Times New Roman"/>
                <w:sz w:val="22"/>
                <w:szCs w:val="22"/>
                <w:lang w:val="bg-BG"/>
              </w:rPr>
              <w:t>1.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B9" w:rsidRPr="00D17422" w:rsidRDefault="006A45B9" w:rsidP="006A45B9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BD65AC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При откриване на находки, които имат признаци на паметници на културата временно да бъде прекратена дейността. Дейността да бъде възстановена след даване на указания от експертите на РИМ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B9" w:rsidRPr="00825D02" w:rsidRDefault="006A45B9" w:rsidP="006A45B9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25D02">
              <w:rPr>
                <w:rFonts w:ascii="Times New Roman" w:hAnsi="Times New Roman"/>
                <w:sz w:val="22"/>
                <w:szCs w:val="22"/>
                <w:lang w:val="bg-BG"/>
              </w:rPr>
              <w:t>Монтаж и експлоатация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B9" w:rsidRPr="00825D02" w:rsidRDefault="006A45B9" w:rsidP="006A45B9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25D02">
              <w:rPr>
                <w:rFonts w:ascii="Times New Roman" w:hAnsi="Times New Roman"/>
                <w:sz w:val="22"/>
                <w:szCs w:val="22"/>
                <w:lang w:val="bg-BG"/>
              </w:rPr>
              <w:t>Опазване на археологически паметници на културата</w:t>
            </w:r>
          </w:p>
        </w:tc>
      </w:tr>
    </w:tbl>
    <w:p w:rsidR="00641818" w:rsidRPr="0057254F" w:rsidRDefault="00641818" w:rsidP="00193810">
      <w:pPr>
        <w:tabs>
          <w:tab w:val="left" w:pos="851"/>
          <w:tab w:val="left" w:pos="993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193810" w:rsidRPr="0057254F" w:rsidRDefault="00193810" w:rsidP="00193810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overflowPunct/>
        <w:autoSpaceDE/>
        <w:autoSpaceDN/>
        <w:adjustRightInd/>
        <w:ind w:left="-142" w:firstLine="568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инвестиционното предложение, което е било предмет на извършената ОВОС по реда на Закона за опазване на околната среда.</w:t>
      </w:r>
    </w:p>
    <w:p w:rsidR="00193810" w:rsidRPr="0057254F" w:rsidRDefault="00193810" w:rsidP="00193810">
      <w:pPr>
        <w:overflowPunct/>
        <w:autoSpaceDE/>
        <w:autoSpaceDN/>
        <w:adjustRightInd/>
        <w:ind w:left="-142" w:firstLine="568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При промяна на възложителя, на параметрите на инвестиционното предложение или на някое от обстоятелствата, при които се издава настоящото решение по ОВОС, възложителят/новият възложител трябва да уведоми своевременно компетентния орган по околна среда (РИОСВ - Хасково) съгласно изискванията на чл. 99, ал. 11 от Закона за опазване на околната среда.</w:t>
      </w:r>
    </w:p>
    <w:p w:rsidR="00193810" w:rsidRPr="0057254F" w:rsidRDefault="00193810" w:rsidP="00193810">
      <w:pPr>
        <w:overflowPunct/>
        <w:autoSpaceDE/>
        <w:autoSpaceDN/>
        <w:adjustRightInd/>
        <w:ind w:left="-142" w:firstLine="568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99, ал. 12 от Закона за опазване на околната среда решението по ОВОС губи правно действие, ако в срок 5 /пет/ години от датата на издаването му не е започнало осъществяване на инвестиционното предложение.</w:t>
      </w:r>
    </w:p>
    <w:p w:rsidR="00193810" w:rsidRPr="0057254F" w:rsidRDefault="00193810" w:rsidP="00193810">
      <w:pPr>
        <w:overflowPunct/>
        <w:autoSpaceDE/>
        <w:autoSpaceDN/>
        <w:adjustRightInd/>
        <w:ind w:left="-142" w:firstLine="568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>При констатиране неизпълнение на условията и мерките в решението по ОВОС виновните лица носят отговорност по чл. 166, т. 2 от Закона за опазване на околната среда.</w:t>
      </w:r>
    </w:p>
    <w:p w:rsidR="006C5A73" w:rsidRPr="0057254F" w:rsidRDefault="006C5A73" w:rsidP="006C5A73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7254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193810" w:rsidRPr="0057254F" w:rsidRDefault="00193810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A7911" w:rsidRDefault="00DA7911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E3319" w:rsidRPr="0057254F" w:rsidRDefault="009E3319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193810" w:rsidP="0019381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193810" w:rsidRPr="0057254F" w:rsidRDefault="00CE32F1" w:rsidP="0019381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М.В.</w:t>
      </w:r>
    </w:p>
    <w:p w:rsidR="00193810" w:rsidRPr="0057254F" w:rsidRDefault="00193810" w:rsidP="0019381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193810" w:rsidRPr="0057254F" w:rsidRDefault="00193810" w:rsidP="0019381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193810" w:rsidRPr="0057254F" w:rsidRDefault="00193810" w:rsidP="001938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3810" w:rsidRPr="0057254F" w:rsidRDefault="00193810" w:rsidP="001938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7254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058FD" w:rsidRPr="0057254F">
        <w:rPr>
          <w:rFonts w:ascii="Times New Roman" w:hAnsi="Times New Roman"/>
          <w:b/>
          <w:sz w:val="24"/>
          <w:szCs w:val="24"/>
          <w:lang w:val="bg-BG"/>
        </w:rPr>
        <w:t>0</w:t>
      </w:r>
      <w:r w:rsidR="009E3319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7254F">
        <w:rPr>
          <w:rFonts w:ascii="Times New Roman" w:hAnsi="Times New Roman"/>
          <w:b/>
          <w:sz w:val="24"/>
          <w:szCs w:val="24"/>
          <w:lang w:val="bg-BG"/>
        </w:rPr>
        <w:t>.</w:t>
      </w:r>
      <w:r w:rsidR="00C058FD" w:rsidRPr="0057254F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57254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058FD" w:rsidRPr="0057254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57254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934EB" w:rsidRPr="0057254F" w:rsidRDefault="00D934EB" w:rsidP="00D934EB">
      <w:pPr>
        <w:rPr>
          <w:rFonts w:ascii="Times New Roman" w:hAnsi="Times New Roman"/>
          <w:sz w:val="24"/>
          <w:szCs w:val="24"/>
        </w:rPr>
      </w:pPr>
    </w:p>
    <w:p w:rsidR="00D76065" w:rsidRPr="0057254F" w:rsidRDefault="00D76065" w:rsidP="00D934EB">
      <w:pPr>
        <w:rPr>
          <w:rFonts w:ascii="Times New Roman" w:hAnsi="Times New Roman"/>
          <w:sz w:val="24"/>
          <w:szCs w:val="24"/>
        </w:rPr>
      </w:pPr>
    </w:p>
    <w:p w:rsidR="00D76065" w:rsidRPr="0057254F" w:rsidRDefault="00D76065" w:rsidP="00D934EB">
      <w:pPr>
        <w:rPr>
          <w:rFonts w:ascii="Times New Roman" w:hAnsi="Times New Roman"/>
          <w:sz w:val="24"/>
          <w:szCs w:val="24"/>
        </w:rPr>
      </w:pPr>
    </w:p>
    <w:p w:rsidR="00D76065" w:rsidRPr="0057254F" w:rsidRDefault="00D76065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230CDE" w:rsidRPr="0057254F" w:rsidRDefault="00230CDE" w:rsidP="00D934EB">
      <w:pPr>
        <w:rPr>
          <w:rFonts w:ascii="Times New Roman" w:hAnsi="Times New Roman"/>
          <w:sz w:val="24"/>
          <w:szCs w:val="24"/>
        </w:rPr>
      </w:pPr>
    </w:p>
    <w:p w:rsidR="00D76065" w:rsidRPr="0057254F" w:rsidRDefault="00D76065" w:rsidP="00D934EB">
      <w:pPr>
        <w:rPr>
          <w:rFonts w:ascii="Times New Roman" w:hAnsi="Times New Roman"/>
          <w:sz w:val="24"/>
          <w:szCs w:val="24"/>
        </w:rPr>
      </w:pP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Началник отдел ПДБРЗТЗ</w:t>
      </w: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D76065" w:rsidRPr="0057254F" w:rsidRDefault="00D76065" w:rsidP="00D7606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254F">
        <w:rPr>
          <w:rFonts w:ascii="Times New Roman" w:hAnsi="Times New Roman"/>
          <w:i/>
          <w:sz w:val="24"/>
          <w:szCs w:val="24"/>
          <w:lang w:val="bg-BG"/>
        </w:rPr>
        <w:t>главен експерт в отдел ПДБРЗТЗ</w:t>
      </w:r>
    </w:p>
    <w:p w:rsidR="00D76065" w:rsidRPr="0057254F" w:rsidRDefault="00D76065" w:rsidP="00D934EB">
      <w:pPr>
        <w:rPr>
          <w:rFonts w:ascii="Times New Roman" w:hAnsi="Times New Roman"/>
          <w:sz w:val="24"/>
          <w:szCs w:val="24"/>
        </w:rPr>
      </w:pPr>
    </w:p>
    <w:sectPr w:rsidR="00D76065" w:rsidRPr="0057254F" w:rsidSect="00846D83">
      <w:footerReference w:type="default" r:id="rId10"/>
      <w:headerReference w:type="first" r:id="rId11"/>
      <w:footerReference w:type="first" r:id="rId12"/>
      <w:pgSz w:w="11907" w:h="16840" w:code="9"/>
      <w:pgMar w:top="1134" w:right="992" w:bottom="709" w:left="1418" w:header="918" w:footer="2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0A" w:rsidRDefault="003B300A">
      <w:r>
        <w:separator/>
      </w:r>
    </w:p>
  </w:endnote>
  <w:endnote w:type="continuationSeparator" w:id="0">
    <w:p w:rsidR="003B300A" w:rsidRDefault="003B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07022"/>
      <w:docPartObj>
        <w:docPartGallery w:val="Page Numbers (Bottom of Page)"/>
        <w:docPartUnique/>
      </w:docPartObj>
    </w:sdtPr>
    <w:sdtEndPr/>
    <w:sdtContent>
      <w:p w:rsidR="002C55FB" w:rsidRPr="002C55FB" w:rsidRDefault="002C55FB">
        <w:pPr>
          <w:pStyle w:val="a4"/>
          <w:jc w:val="right"/>
        </w:pPr>
        <w:r w:rsidRPr="002C55FB">
          <w:rPr>
            <w:rFonts w:ascii="Times New Roman" w:hAnsi="Times New Roman"/>
          </w:rPr>
          <w:fldChar w:fldCharType="begin"/>
        </w:r>
        <w:r w:rsidRPr="002C55FB">
          <w:rPr>
            <w:rFonts w:ascii="Times New Roman" w:hAnsi="Times New Roman"/>
          </w:rPr>
          <w:instrText>PAGE   \* MERGEFORMAT</w:instrText>
        </w:r>
        <w:r w:rsidRPr="002C55FB">
          <w:rPr>
            <w:rFonts w:ascii="Times New Roman" w:hAnsi="Times New Roman"/>
          </w:rPr>
          <w:fldChar w:fldCharType="separate"/>
        </w:r>
        <w:r w:rsidR="00CE32F1" w:rsidRPr="00CE32F1">
          <w:rPr>
            <w:rFonts w:ascii="Times New Roman" w:hAnsi="Times New Roman"/>
            <w:noProof/>
            <w:lang w:val="bg-BG"/>
          </w:rPr>
          <w:t>2</w:t>
        </w:r>
        <w:r w:rsidRPr="002C55FB">
          <w:rPr>
            <w:rFonts w:ascii="Times New Roman" w:hAnsi="Times New Roman"/>
          </w:rPr>
          <w:fldChar w:fldCharType="end"/>
        </w:r>
      </w:p>
    </w:sdtContent>
  </w:sdt>
  <w:p w:rsidR="002C55FB" w:rsidRDefault="002C55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10B233BC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57" name="Картина 15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6659B9" w:rsidRPr="00A16387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6659B9" w:rsidRPr="00A16387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3B300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735B1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0B19A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64401</wp:posOffset>
                </wp:positionH>
                <wp:positionV relativeFrom="paragraph">
                  <wp:posOffset>-52321</wp:posOffset>
                </wp:positionV>
                <wp:extent cx="1854200" cy="718820"/>
                <wp:effectExtent l="0" t="0" r="0" b="5080"/>
                <wp:wrapNone/>
                <wp:docPr id="158" name="Картина 15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0A" w:rsidRDefault="003B300A">
      <w:r>
        <w:separator/>
      </w:r>
    </w:p>
  </w:footnote>
  <w:footnote w:type="continuationSeparator" w:id="0">
    <w:p w:rsidR="003B300A" w:rsidRDefault="003B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56" name="Картина 15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9FA"/>
    <w:multiLevelType w:val="hybridMultilevel"/>
    <w:tmpl w:val="73BA3816"/>
    <w:lvl w:ilvl="0" w:tplc="21865D2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28B19E0"/>
    <w:multiLevelType w:val="hybridMultilevel"/>
    <w:tmpl w:val="B48CD100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9032D"/>
    <w:multiLevelType w:val="hybridMultilevel"/>
    <w:tmpl w:val="EACC320A"/>
    <w:lvl w:ilvl="0" w:tplc="1BEA52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C6A19"/>
    <w:multiLevelType w:val="hybridMultilevel"/>
    <w:tmpl w:val="F9F040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F5168C"/>
    <w:multiLevelType w:val="hybridMultilevel"/>
    <w:tmpl w:val="6E647A52"/>
    <w:lvl w:ilvl="0" w:tplc="CB8EB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F4CA7"/>
    <w:multiLevelType w:val="multilevel"/>
    <w:tmpl w:val="5666F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6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383114D"/>
    <w:multiLevelType w:val="multilevel"/>
    <w:tmpl w:val="A8F07212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CBE1235"/>
    <w:multiLevelType w:val="multilevel"/>
    <w:tmpl w:val="E492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48A"/>
    <w:rsid w:val="0000306F"/>
    <w:rsid w:val="00031726"/>
    <w:rsid w:val="000342B1"/>
    <w:rsid w:val="000370D9"/>
    <w:rsid w:val="00040AFB"/>
    <w:rsid w:val="0004334C"/>
    <w:rsid w:val="000457E9"/>
    <w:rsid w:val="00046DD2"/>
    <w:rsid w:val="0005385E"/>
    <w:rsid w:val="00056AFD"/>
    <w:rsid w:val="00066AA2"/>
    <w:rsid w:val="00070673"/>
    <w:rsid w:val="00075DA0"/>
    <w:rsid w:val="0007606B"/>
    <w:rsid w:val="0009564B"/>
    <w:rsid w:val="00096AC7"/>
    <w:rsid w:val="000A34D9"/>
    <w:rsid w:val="000B19AB"/>
    <w:rsid w:val="000E2C0C"/>
    <w:rsid w:val="000E50AB"/>
    <w:rsid w:val="001004A8"/>
    <w:rsid w:val="001073F0"/>
    <w:rsid w:val="00137B08"/>
    <w:rsid w:val="00142B7C"/>
    <w:rsid w:val="001542DB"/>
    <w:rsid w:val="00157D1E"/>
    <w:rsid w:val="00160CA5"/>
    <w:rsid w:val="00162319"/>
    <w:rsid w:val="001658A1"/>
    <w:rsid w:val="001712C3"/>
    <w:rsid w:val="00174BD0"/>
    <w:rsid w:val="00175F0D"/>
    <w:rsid w:val="00181D2D"/>
    <w:rsid w:val="001868EE"/>
    <w:rsid w:val="00193810"/>
    <w:rsid w:val="00195F85"/>
    <w:rsid w:val="001B170D"/>
    <w:rsid w:val="001B31D9"/>
    <w:rsid w:val="001B4BA5"/>
    <w:rsid w:val="001C3777"/>
    <w:rsid w:val="001C4288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0CDE"/>
    <w:rsid w:val="00233451"/>
    <w:rsid w:val="0024120B"/>
    <w:rsid w:val="00251529"/>
    <w:rsid w:val="002619AC"/>
    <w:rsid w:val="002663AA"/>
    <w:rsid w:val="00266D04"/>
    <w:rsid w:val="00287316"/>
    <w:rsid w:val="002932AB"/>
    <w:rsid w:val="00293AAD"/>
    <w:rsid w:val="002976D4"/>
    <w:rsid w:val="002A2BEC"/>
    <w:rsid w:val="002A443A"/>
    <w:rsid w:val="002B670D"/>
    <w:rsid w:val="002B7809"/>
    <w:rsid w:val="002C2AAD"/>
    <w:rsid w:val="002C55FB"/>
    <w:rsid w:val="002E0586"/>
    <w:rsid w:val="002E25EF"/>
    <w:rsid w:val="002F0C38"/>
    <w:rsid w:val="002F43DC"/>
    <w:rsid w:val="00300430"/>
    <w:rsid w:val="00304041"/>
    <w:rsid w:val="0030569A"/>
    <w:rsid w:val="0031305B"/>
    <w:rsid w:val="00324274"/>
    <w:rsid w:val="00324282"/>
    <w:rsid w:val="00332DD6"/>
    <w:rsid w:val="00335ECB"/>
    <w:rsid w:val="003375D0"/>
    <w:rsid w:val="00340466"/>
    <w:rsid w:val="00342688"/>
    <w:rsid w:val="00352F4E"/>
    <w:rsid w:val="0035421C"/>
    <w:rsid w:val="003568BF"/>
    <w:rsid w:val="00374C35"/>
    <w:rsid w:val="003A3E07"/>
    <w:rsid w:val="003B15A7"/>
    <w:rsid w:val="003B300A"/>
    <w:rsid w:val="003C2358"/>
    <w:rsid w:val="003C53E8"/>
    <w:rsid w:val="003D64E0"/>
    <w:rsid w:val="003E7F99"/>
    <w:rsid w:val="0040427F"/>
    <w:rsid w:val="00407BDD"/>
    <w:rsid w:val="004137E6"/>
    <w:rsid w:val="00414283"/>
    <w:rsid w:val="004174F6"/>
    <w:rsid w:val="00436B54"/>
    <w:rsid w:val="00440511"/>
    <w:rsid w:val="00446795"/>
    <w:rsid w:val="00446FB7"/>
    <w:rsid w:val="004501C2"/>
    <w:rsid w:val="00466D96"/>
    <w:rsid w:val="004809B6"/>
    <w:rsid w:val="004A71EC"/>
    <w:rsid w:val="004C00AF"/>
    <w:rsid w:val="004C3144"/>
    <w:rsid w:val="004C491C"/>
    <w:rsid w:val="004C7827"/>
    <w:rsid w:val="004D1054"/>
    <w:rsid w:val="004D3EFF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44ED2"/>
    <w:rsid w:val="00544F5F"/>
    <w:rsid w:val="0054547E"/>
    <w:rsid w:val="00560146"/>
    <w:rsid w:val="00562AFE"/>
    <w:rsid w:val="0057056E"/>
    <w:rsid w:val="00571A9B"/>
    <w:rsid w:val="0057254F"/>
    <w:rsid w:val="00575C85"/>
    <w:rsid w:val="00581F83"/>
    <w:rsid w:val="00595361"/>
    <w:rsid w:val="005959B2"/>
    <w:rsid w:val="005A2999"/>
    <w:rsid w:val="005A3B17"/>
    <w:rsid w:val="005B69F7"/>
    <w:rsid w:val="005B7F47"/>
    <w:rsid w:val="005D3B7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2554A"/>
    <w:rsid w:val="006340C8"/>
    <w:rsid w:val="006378D7"/>
    <w:rsid w:val="0064092B"/>
    <w:rsid w:val="0064168A"/>
    <w:rsid w:val="00641818"/>
    <w:rsid w:val="00643C98"/>
    <w:rsid w:val="00654471"/>
    <w:rsid w:val="00661C46"/>
    <w:rsid w:val="006659B9"/>
    <w:rsid w:val="00665CBD"/>
    <w:rsid w:val="0067078F"/>
    <w:rsid w:val="00677AC7"/>
    <w:rsid w:val="006816CA"/>
    <w:rsid w:val="006A45B9"/>
    <w:rsid w:val="006A617B"/>
    <w:rsid w:val="006A6644"/>
    <w:rsid w:val="006B0B9A"/>
    <w:rsid w:val="006B25DC"/>
    <w:rsid w:val="006C38D7"/>
    <w:rsid w:val="006C5A73"/>
    <w:rsid w:val="006D21A3"/>
    <w:rsid w:val="006E1608"/>
    <w:rsid w:val="007009B6"/>
    <w:rsid w:val="00701967"/>
    <w:rsid w:val="00712AF3"/>
    <w:rsid w:val="0072234E"/>
    <w:rsid w:val="00724E35"/>
    <w:rsid w:val="00731CCD"/>
    <w:rsid w:val="00735898"/>
    <w:rsid w:val="00742897"/>
    <w:rsid w:val="0074472F"/>
    <w:rsid w:val="007719EF"/>
    <w:rsid w:val="007A0395"/>
    <w:rsid w:val="007A23B0"/>
    <w:rsid w:val="007A4EAF"/>
    <w:rsid w:val="007A6290"/>
    <w:rsid w:val="007A78C5"/>
    <w:rsid w:val="007B1562"/>
    <w:rsid w:val="007D21EF"/>
    <w:rsid w:val="007E11A5"/>
    <w:rsid w:val="007E1D4C"/>
    <w:rsid w:val="007E21F8"/>
    <w:rsid w:val="007E7EE4"/>
    <w:rsid w:val="007F7029"/>
    <w:rsid w:val="00824227"/>
    <w:rsid w:val="008403F9"/>
    <w:rsid w:val="00842F0C"/>
    <w:rsid w:val="008456DB"/>
    <w:rsid w:val="00846D83"/>
    <w:rsid w:val="00852478"/>
    <w:rsid w:val="0085348A"/>
    <w:rsid w:val="008535A5"/>
    <w:rsid w:val="00857AC0"/>
    <w:rsid w:val="00870F88"/>
    <w:rsid w:val="008719BB"/>
    <w:rsid w:val="0087780C"/>
    <w:rsid w:val="00892294"/>
    <w:rsid w:val="0089242E"/>
    <w:rsid w:val="008A098F"/>
    <w:rsid w:val="008A2513"/>
    <w:rsid w:val="008A48F6"/>
    <w:rsid w:val="008B0206"/>
    <w:rsid w:val="008B1300"/>
    <w:rsid w:val="008B3AF3"/>
    <w:rsid w:val="008C48AD"/>
    <w:rsid w:val="008D73F7"/>
    <w:rsid w:val="008F49B1"/>
    <w:rsid w:val="009030C7"/>
    <w:rsid w:val="009160D3"/>
    <w:rsid w:val="00936425"/>
    <w:rsid w:val="009373B6"/>
    <w:rsid w:val="00946775"/>
    <w:rsid w:val="00946D85"/>
    <w:rsid w:val="00953EC1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646E"/>
    <w:rsid w:val="009C7D75"/>
    <w:rsid w:val="009D2E64"/>
    <w:rsid w:val="009D4048"/>
    <w:rsid w:val="009E24BD"/>
    <w:rsid w:val="009E3319"/>
    <w:rsid w:val="009E6F5B"/>
    <w:rsid w:val="009E7D8E"/>
    <w:rsid w:val="009F0994"/>
    <w:rsid w:val="009F6B40"/>
    <w:rsid w:val="00A1320E"/>
    <w:rsid w:val="00A31F08"/>
    <w:rsid w:val="00A60EF9"/>
    <w:rsid w:val="00A7322F"/>
    <w:rsid w:val="00A73A3C"/>
    <w:rsid w:val="00A75474"/>
    <w:rsid w:val="00A83E8B"/>
    <w:rsid w:val="00AA66BE"/>
    <w:rsid w:val="00AC0183"/>
    <w:rsid w:val="00AD0109"/>
    <w:rsid w:val="00AD13E8"/>
    <w:rsid w:val="00AD1FA4"/>
    <w:rsid w:val="00AF3266"/>
    <w:rsid w:val="00AF7C54"/>
    <w:rsid w:val="00B028BB"/>
    <w:rsid w:val="00B04394"/>
    <w:rsid w:val="00B060AE"/>
    <w:rsid w:val="00B17468"/>
    <w:rsid w:val="00B239ED"/>
    <w:rsid w:val="00B30CC0"/>
    <w:rsid w:val="00B31B9F"/>
    <w:rsid w:val="00B35E47"/>
    <w:rsid w:val="00B40982"/>
    <w:rsid w:val="00B502C9"/>
    <w:rsid w:val="00B5085A"/>
    <w:rsid w:val="00B51C2C"/>
    <w:rsid w:val="00B55A31"/>
    <w:rsid w:val="00B735B1"/>
    <w:rsid w:val="00B76562"/>
    <w:rsid w:val="00B80F1E"/>
    <w:rsid w:val="00B95029"/>
    <w:rsid w:val="00BA344C"/>
    <w:rsid w:val="00BA622F"/>
    <w:rsid w:val="00BC7F7A"/>
    <w:rsid w:val="00BD2428"/>
    <w:rsid w:val="00BD2C16"/>
    <w:rsid w:val="00BD4A64"/>
    <w:rsid w:val="00BD65AC"/>
    <w:rsid w:val="00BE5BF4"/>
    <w:rsid w:val="00BF0194"/>
    <w:rsid w:val="00BF26DD"/>
    <w:rsid w:val="00C00904"/>
    <w:rsid w:val="00C02136"/>
    <w:rsid w:val="00C043D9"/>
    <w:rsid w:val="00C058FD"/>
    <w:rsid w:val="00C067E8"/>
    <w:rsid w:val="00C1463F"/>
    <w:rsid w:val="00C30CDE"/>
    <w:rsid w:val="00C36910"/>
    <w:rsid w:val="00C37565"/>
    <w:rsid w:val="00C473A4"/>
    <w:rsid w:val="00C538C5"/>
    <w:rsid w:val="00C655E3"/>
    <w:rsid w:val="00C73DF1"/>
    <w:rsid w:val="00C76288"/>
    <w:rsid w:val="00C82901"/>
    <w:rsid w:val="00C879EB"/>
    <w:rsid w:val="00C91DFF"/>
    <w:rsid w:val="00C9282E"/>
    <w:rsid w:val="00CA0AA5"/>
    <w:rsid w:val="00CA14E7"/>
    <w:rsid w:val="00CA3258"/>
    <w:rsid w:val="00CA7A14"/>
    <w:rsid w:val="00CB0BF9"/>
    <w:rsid w:val="00CD151E"/>
    <w:rsid w:val="00CD1F33"/>
    <w:rsid w:val="00CE32F1"/>
    <w:rsid w:val="00CF1368"/>
    <w:rsid w:val="00CF70B8"/>
    <w:rsid w:val="00D03B87"/>
    <w:rsid w:val="00D07E31"/>
    <w:rsid w:val="00D14B6C"/>
    <w:rsid w:val="00D17422"/>
    <w:rsid w:val="00D228BB"/>
    <w:rsid w:val="00D259F5"/>
    <w:rsid w:val="00D300F0"/>
    <w:rsid w:val="00D450FA"/>
    <w:rsid w:val="00D530CC"/>
    <w:rsid w:val="00D61AE4"/>
    <w:rsid w:val="00D631FA"/>
    <w:rsid w:val="00D678CA"/>
    <w:rsid w:val="00D7472F"/>
    <w:rsid w:val="00D74EBB"/>
    <w:rsid w:val="00D76065"/>
    <w:rsid w:val="00D827FC"/>
    <w:rsid w:val="00D85058"/>
    <w:rsid w:val="00D865ED"/>
    <w:rsid w:val="00D934EB"/>
    <w:rsid w:val="00D9698C"/>
    <w:rsid w:val="00DA7911"/>
    <w:rsid w:val="00DB06B0"/>
    <w:rsid w:val="00DB1278"/>
    <w:rsid w:val="00DC2310"/>
    <w:rsid w:val="00DC4365"/>
    <w:rsid w:val="00DE388D"/>
    <w:rsid w:val="00DE432A"/>
    <w:rsid w:val="00DF6A09"/>
    <w:rsid w:val="00E10E55"/>
    <w:rsid w:val="00E15B5B"/>
    <w:rsid w:val="00E17B16"/>
    <w:rsid w:val="00E344E2"/>
    <w:rsid w:val="00E46C1A"/>
    <w:rsid w:val="00E50BA9"/>
    <w:rsid w:val="00E5179C"/>
    <w:rsid w:val="00E74367"/>
    <w:rsid w:val="00E7682A"/>
    <w:rsid w:val="00E82945"/>
    <w:rsid w:val="00E844D0"/>
    <w:rsid w:val="00EA3B1F"/>
    <w:rsid w:val="00EA64B0"/>
    <w:rsid w:val="00EB63EB"/>
    <w:rsid w:val="00EC1E00"/>
    <w:rsid w:val="00EC304D"/>
    <w:rsid w:val="00EC5744"/>
    <w:rsid w:val="00ED1377"/>
    <w:rsid w:val="00ED1B17"/>
    <w:rsid w:val="00EE59DE"/>
    <w:rsid w:val="00EF45C3"/>
    <w:rsid w:val="00EF4B50"/>
    <w:rsid w:val="00EF7B86"/>
    <w:rsid w:val="00F00C07"/>
    <w:rsid w:val="00F01C68"/>
    <w:rsid w:val="00F107B5"/>
    <w:rsid w:val="00F3043C"/>
    <w:rsid w:val="00F363CE"/>
    <w:rsid w:val="00F42812"/>
    <w:rsid w:val="00F47093"/>
    <w:rsid w:val="00F477AE"/>
    <w:rsid w:val="00F72CF1"/>
    <w:rsid w:val="00F97A0A"/>
    <w:rsid w:val="00FA2004"/>
    <w:rsid w:val="00FA4437"/>
    <w:rsid w:val="00FC43AE"/>
    <w:rsid w:val="00FC5C31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1938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Долен колонтитул Знак"/>
    <w:basedOn w:val="a0"/>
    <w:link w:val="a4"/>
    <w:uiPriority w:val="99"/>
    <w:rsid w:val="002C55F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1938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Долен колонтитул Знак"/>
    <w:basedOn w:val="a0"/>
    <w:link w:val="a4"/>
    <w:uiPriority w:val="99"/>
    <w:rsid w:val="002C55F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eb6.ciela.net/Document?documentId=2135458102&amp;dbId=0&amp;iconId=1&amp;structureId=custom_0,1034&amp;stateObject=%7b%22kind%22:%22welcomePage%22,%22Node%22:null,%22Link%22:%22%2FTree%3FnavigateTo%3D%2Fcustom_0%2F1034%22,%22Title%22:%22%20%D0%9E%D0%92%D0%9E%D0%A1%20%D0%B8%20%D0%95%D0%9E%22,%22State%22:%22/%22,%22Container%22:null%7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6DFB-9C96-4D10-A536-4AF03A0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4265</Words>
  <Characters>24312</Characters>
  <Application>Microsoft Office Word</Application>
  <DocSecurity>0</DocSecurity>
  <Lines>202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28520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89</cp:revision>
  <cp:lastPrinted>2023-07-04T11:14:00Z</cp:lastPrinted>
  <dcterms:created xsi:type="dcterms:W3CDTF">2021-11-11T09:41:00Z</dcterms:created>
  <dcterms:modified xsi:type="dcterms:W3CDTF">2023-10-16T14:15:00Z</dcterms:modified>
</cp:coreProperties>
</file>