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BB" w:rsidRPr="001576C4" w:rsidRDefault="00DD6FBB" w:rsidP="00DD6FBB">
      <w:pPr>
        <w:jc w:val="right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>ниво на класификация:</w:t>
      </w:r>
    </w:p>
    <w:p w:rsidR="004350C9" w:rsidRPr="001576C4" w:rsidRDefault="00DD6FBB" w:rsidP="00DD6FBB">
      <w:pPr>
        <w:jc w:val="right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  <w:t>TLP – WHITE</w:t>
      </w:r>
    </w:p>
    <w:p w:rsidR="00E21F6D" w:rsidRPr="001576C4" w:rsidRDefault="00E21F6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1576C4" w:rsidRDefault="00F14BF4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1576C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20EEC">
        <w:rPr>
          <w:rFonts w:ascii="Times New Roman" w:hAnsi="Times New Roman"/>
          <w:b/>
          <w:sz w:val="24"/>
          <w:szCs w:val="24"/>
          <w:lang w:val="bg-BG"/>
        </w:rPr>
        <w:t>53</w:t>
      </w:r>
      <w:r w:rsidR="004350C9" w:rsidRPr="001576C4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1576C4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1576C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11016B" w:rsidRPr="001576C4" w:rsidRDefault="0011016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1576C4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1576C4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1576C4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1576C4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1576C4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1576C4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1576C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1576C4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1576C4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1576C4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1576C4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1576C4">
        <w:rPr>
          <w:rFonts w:ascii="Times New Roman" w:hAnsi="Times New Roman"/>
          <w:sz w:val="24"/>
          <w:szCs w:val="24"/>
          <w:lang w:val="bg-BG"/>
        </w:rPr>
        <w:t>е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1576C4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0827AE" w:rsidRPr="001576C4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A1425B" w:rsidRPr="001576C4" w:rsidRDefault="00A1425B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1576C4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A1425B" w:rsidRPr="001576C4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1576C4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576C4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1576C4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5F65E2" w:rsidRPr="001576C4">
        <w:rPr>
          <w:rFonts w:ascii="Times New Roman" w:hAnsi="Times New Roman"/>
          <w:sz w:val="24"/>
          <w:szCs w:val="24"/>
          <w:lang w:val="bg-BG"/>
        </w:rPr>
        <w:t>„</w:t>
      </w:r>
      <w:r w:rsidR="00CF3012" w:rsidRPr="001576C4">
        <w:rPr>
          <w:rFonts w:ascii="Times New Roman" w:hAnsi="Times New Roman"/>
          <w:sz w:val="24"/>
          <w:szCs w:val="24"/>
          <w:lang w:val="bg-BG"/>
        </w:rPr>
        <w:t xml:space="preserve">Изработване на подробен устройствен план – план за застрояване (ПУП-ПЗ) </w:t>
      </w:r>
      <w:r w:rsidR="001576C4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1576C4" w:rsidRPr="001576C4">
        <w:rPr>
          <w:rFonts w:ascii="Times New Roman" w:hAnsi="Times New Roman"/>
          <w:sz w:val="24"/>
          <w:szCs w:val="24"/>
          <w:lang w:val="bg-BG"/>
        </w:rPr>
        <w:t xml:space="preserve">план-схема за електрификация </w:t>
      </w:r>
      <w:r w:rsidR="00CF3012" w:rsidRPr="001576C4">
        <w:rPr>
          <w:rFonts w:ascii="Times New Roman" w:hAnsi="Times New Roman"/>
          <w:sz w:val="24"/>
          <w:szCs w:val="24"/>
          <w:lang w:val="bg-BG"/>
        </w:rPr>
        <w:t xml:space="preserve">на поземлен имот с идентификатор 32024.66.274 по КККР на гр. Ивайловград, общ. Ивайловград, обл. Хасково с цел изграждане на фотоволтаична електроцентрала с мощност 1678 </w:t>
      </w:r>
      <w:proofErr w:type="spellStart"/>
      <w:r w:rsidR="00CF3012" w:rsidRPr="001576C4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="007525FA" w:rsidRPr="001576C4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1576C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1576C4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1576C4">
        <w:rPr>
          <w:rFonts w:ascii="Times New Roman" w:hAnsi="Times New Roman"/>
          <w:sz w:val="24"/>
          <w:szCs w:val="24"/>
          <w:lang w:val="bg-BG"/>
        </w:rPr>
        <w:t>ко</w:t>
      </w:r>
      <w:r w:rsidR="00CD0EE6" w:rsidRPr="001576C4">
        <w:rPr>
          <w:rFonts w:ascii="Times New Roman" w:hAnsi="Times New Roman"/>
          <w:sz w:val="24"/>
          <w:szCs w:val="24"/>
          <w:lang w:val="bg-BG"/>
        </w:rPr>
        <w:t>й</w:t>
      </w:r>
      <w:r w:rsidRPr="001576C4">
        <w:rPr>
          <w:rFonts w:ascii="Times New Roman" w:hAnsi="Times New Roman"/>
          <w:sz w:val="24"/>
          <w:szCs w:val="24"/>
          <w:lang w:val="bg-BG"/>
        </w:rPr>
        <w:t>то</w:t>
      </w:r>
      <w:r w:rsidRPr="001576C4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1576C4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1576C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1576C4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1576C4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1576C4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827AE" w:rsidRPr="001576C4" w:rsidRDefault="004350C9" w:rsidP="00BD0264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1576C4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1576C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F3012" w:rsidRPr="001576C4">
        <w:rPr>
          <w:rFonts w:ascii="Times New Roman" w:hAnsi="Times New Roman"/>
          <w:sz w:val="24"/>
          <w:szCs w:val="24"/>
          <w:lang w:val="bg-BG"/>
        </w:rPr>
        <w:t xml:space="preserve">„КАЯ ЕНЕРДЖИ“ ЕООД, ЕИК </w:t>
      </w:r>
      <w:bookmarkStart w:id="0" w:name="_GoBack"/>
      <w:r w:rsidR="00CF3012" w:rsidRPr="001576C4">
        <w:rPr>
          <w:rFonts w:ascii="Times New Roman" w:hAnsi="Times New Roman"/>
          <w:sz w:val="24"/>
          <w:szCs w:val="24"/>
          <w:lang w:val="bg-BG"/>
        </w:rPr>
        <w:t>206843696</w:t>
      </w:r>
      <w:bookmarkEnd w:id="0"/>
    </w:p>
    <w:p w:rsidR="00A1425B" w:rsidRPr="001576C4" w:rsidRDefault="000827AE" w:rsidP="00CF3012">
      <w:pPr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F3012" w:rsidRPr="001576C4">
        <w:rPr>
          <w:rFonts w:ascii="Times New Roman" w:hAnsi="Times New Roman"/>
          <w:sz w:val="24"/>
          <w:szCs w:val="24"/>
          <w:lang w:val="bg-BG"/>
        </w:rPr>
        <w:t>гр. София; район Триадица; ул. „Княз Борис I“ № 98А, ет. 4</w:t>
      </w:r>
    </w:p>
    <w:p w:rsidR="000827AE" w:rsidRPr="001576C4" w:rsidRDefault="000827AE" w:rsidP="001576C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1576C4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1576C4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1576C4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DF3DCD" w:rsidRPr="001576C4" w:rsidRDefault="002C311A" w:rsidP="002C31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информация/документация става ясно, че за поземлен имот с идентификатор 32024.66.274 по КККР на гр. Ивайловград има одобрен и влязъл в сила подробен устройствен план – план за регулация (ПУП-ПР), с който са установени: граници на имота, достъп от улица/път и конкретното предназначение на имота „за фотоволтаична електроцентрала“. </w:t>
      </w:r>
    </w:p>
    <w:p w:rsidR="002C311A" w:rsidRPr="001576C4" w:rsidRDefault="002C311A" w:rsidP="002C31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 xml:space="preserve">Във връзка с намеренията на възложителя за изграждане на ФЕЦ с номинална генераторна мощност 1678 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 xml:space="preserve"> и застроена площ от 7603 кв. </w:t>
      </w:r>
      <w:r w:rsidR="00DF3DCD" w:rsidRPr="001576C4">
        <w:rPr>
          <w:rFonts w:ascii="Times New Roman" w:hAnsi="Times New Roman"/>
          <w:sz w:val="24"/>
          <w:szCs w:val="24"/>
          <w:lang w:val="bg-BG"/>
        </w:rPr>
        <w:t>м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и трафопост, тип БКТП 0,8/20 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 xml:space="preserve"> в имота, се предвижда изменение на подробния устройствен план, като се допълва с план за застрояване и план-схема за електрификация на имота. </w:t>
      </w:r>
      <w:r w:rsidR="00DF3DCD" w:rsidRPr="001576C4">
        <w:rPr>
          <w:rFonts w:ascii="Times New Roman" w:hAnsi="Times New Roman"/>
          <w:sz w:val="24"/>
          <w:szCs w:val="24"/>
          <w:lang w:val="bg-BG"/>
        </w:rPr>
        <w:t xml:space="preserve">Планът ще се изготви на един етап, в условията на чл. 150 от ЗУТ, като Комплексен проект за инвестиционна инициатива /КПИИ/. </w:t>
      </w:r>
      <w:r w:rsidRPr="001576C4">
        <w:rPr>
          <w:rFonts w:ascii="Times New Roman" w:hAnsi="Times New Roman"/>
          <w:sz w:val="24"/>
          <w:szCs w:val="24"/>
          <w:lang w:val="bg-BG"/>
        </w:rPr>
        <w:t>С плана за застрояване ще се определят стойностите на показателите на застрояване - Плътност на застрояване /ПЗ/, Коефициент на интензивност на застрояване /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>/, процент на озеленяване /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Позел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>./ и начина на застрояване.</w:t>
      </w:r>
    </w:p>
    <w:p w:rsidR="002C311A" w:rsidRPr="001576C4" w:rsidRDefault="002C311A" w:rsidP="002C31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 xml:space="preserve">ФЕЦ ще бъде инсталирана на терен и ще включва следните елементи: фотоволтаични модули /ФВ-модули/, монтирани на стоманени носещи конструкции и групирани в стрингове; необходимия брой инвертори за преобразуване на енергията от постояннотокова в 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променливотокова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 xml:space="preserve"> с избраната единична мощност; кабелни линии от PV-модулите до инверторите; главно разпределително табло /ГРТ/ ФЕЦ с релейна защита; кабелни линии от </w:t>
      </w:r>
      <w:r w:rsidRPr="001576C4">
        <w:rPr>
          <w:rFonts w:ascii="Times New Roman" w:hAnsi="Times New Roman"/>
          <w:sz w:val="24"/>
          <w:szCs w:val="24"/>
          <w:lang w:val="bg-BG"/>
        </w:rPr>
        <w:lastRenderedPageBreak/>
        <w:t xml:space="preserve">инверторите до ГРТ ФЕЦ; 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заземителна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 xml:space="preserve"> инсталация; 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мълниезащитна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 xml:space="preserve"> инсталация и трафопост, тип БКТП 0,8/20 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>.</w:t>
      </w:r>
      <w:r w:rsidR="00DF3DCD" w:rsidRPr="001576C4">
        <w:rPr>
          <w:rFonts w:ascii="Times New Roman" w:hAnsi="Times New Roman"/>
          <w:sz w:val="24"/>
          <w:szCs w:val="24"/>
          <w:lang w:val="bg-BG"/>
        </w:rPr>
        <w:t xml:space="preserve"> Произведената електрическа енергия ще се използва за продажба.</w:t>
      </w:r>
    </w:p>
    <w:p w:rsidR="000F1D84" w:rsidRPr="001576C4" w:rsidRDefault="000F1D84" w:rsidP="003558A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1576C4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1576C4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1576C4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2C311A" w:rsidRPr="001576C4" w:rsidRDefault="002C311A" w:rsidP="002C311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поземлен имот с идентификатор 32024.66.274 по КККР на гр. Ивайловград (УПИ VI, кв. 124 по плана на гр. Ивайловград), </w:t>
      </w:r>
      <w:r w:rsidRPr="001576C4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разположените защитени зони (приблизително на 49 м) са защитена зона </w:t>
      </w:r>
      <w:r w:rsidRPr="001576C4">
        <w:rPr>
          <w:rFonts w:ascii="Times New Roman" w:hAnsi="Times New Roman"/>
          <w:b/>
          <w:sz w:val="24"/>
          <w:szCs w:val="24"/>
          <w:lang w:val="bg-BG"/>
        </w:rPr>
        <w:t>BG0001032 „Родопи Източни”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 г. на Министъра на околната среда и водите (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 xml:space="preserve">. ДВ, бр.43/21.05.2021 г.) и защитена зона </w:t>
      </w:r>
      <w:r w:rsidRPr="001576C4">
        <w:rPr>
          <w:rFonts w:ascii="Times New Roman" w:hAnsi="Times New Roman"/>
          <w:b/>
          <w:sz w:val="24"/>
          <w:szCs w:val="24"/>
          <w:lang w:val="bg-BG"/>
        </w:rPr>
        <w:t>BG0002106 „Язовир Ивайловград”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 обявена със Заповед № РД-845/17.11.2008 г. на Министъра на околната среда и водите (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>. ДВ, бр.12/13.02.2009 г.).</w:t>
      </w:r>
    </w:p>
    <w:p w:rsidR="002C311A" w:rsidRPr="001576C4" w:rsidRDefault="002C311A" w:rsidP="002C311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>Изработването на ПУП-ПЗ</w:t>
      </w:r>
      <w:r w:rsidR="001576C4">
        <w:rPr>
          <w:rFonts w:ascii="Times New Roman" w:hAnsi="Times New Roman"/>
          <w:sz w:val="24"/>
          <w:szCs w:val="24"/>
          <w:lang w:val="bg-BG"/>
        </w:rPr>
        <w:t>,</w:t>
      </w:r>
      <w:r w:rsidR="001576C4" w:rsidRPr="001576C4">
        <w:t xml:space="preserve"> </w:t>
      </w:r>
      <w:r w:rsidR="001576C4" w:rsidRPr="001576C4">
        <w:rPr>
          <w:rFonts w:ascii="Times New Roman" w:hAnsi="Times New Roman"/>
          <w:sz w:val="24"/>
          <w:szCs w:val="24"/>
          <w:lang w:val="bg-BG"/>
        </w:rPr>
        <w:t>придружен със СПС за електрификация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за поземлен имот с идентификатор 32024.66.274 по КККР на гр. Ивайловград (УПИ VI, кв. 124 по плана на гр. Ивайловград) с цел изграждане на фотоволтаична електроцентрала с номинална генераторна мощност 1678 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 xml:space="preserve"> попада в обхвата на чл. 2, ал. 1, т. 1 от </w:t>
      </w:r>
      <w:r w:rsidRPr="001576C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</w:t>
      </w:r>
    </w:p>
    <w:p w:rsidR="003558AA" w:rsidRPr="001576C4" w:rsidRDefault="003558AA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1576C4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3558AA" w:rsidRPr="001576C4" w:rsidRDefault="003558AA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1576C4" w:rsidRDefault="00ED5C1E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 xml:space="preserve">Изработването на </w:t>
      </w:r>
      <w:r w:rsidR="00DF3DCD" w:rsidRPr="001576C4">
        <w:rPr>
          <w:rFonts w:ascii="Times New Roman" w:hAnsi="Times New Roman"/>
          <w:sz w:val="24"/>
          <w:szCs w:val="24"/>
        </w:rPr>
        <w:t xml:space="preserve">ПУП-ПЗ, придружен със СПС за електрификация за поземлен имот с идентификатор 32024.66.274 по КККР на гр. Ивайловград, общ. Ивайловград, обл. Хасково </w:t>
      </w:r>
      <w:r w:rsidR="006154D9" w:rsidRPr="001576C4">
        <w:rPr>
          <w:rFonts w:ascii="Times New Roman" w:hAnsi="Times New Roman"/>
          <w:sz w:val="24"/>
          <w:szCs w:val="24"/>
        </w:rPr>
        <w:t xml:space="preserve">е </w:t>
      </w:r>
      <w:r w:rsidR="00F362FE" w:rsidRPr="001576C4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8924FB" w:rsidRPr="001576C4" w:rsidRDefault="008924FB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 xml:space="preserve">Целта на </w:t>
      </w:r>
      <w:r w:rsidR="00ED5C1E" w:rsidRPr="001576C4">
        <w:rPr>
          <w:rFonts w:ascii="Times New Roman" w:hAnsi="Times New Roman"/>
          <w:sz w:val="24"/>
          <w:szCs w:val="24"/>
        </w:rPr>
        <w:t xml:space="preserve">изработването </w:t>
      </w:r>
      <w:r w:rsidR="00DF3DCD" w:rsidRPr="001576C4">
        <w:rPr>
          <w:rFonts w:ascii="Times New Roman" w:hAnsi="Times New Roman"/>
          <w:sz w:val="24"/>
          <w:szCs w:val="24"/>
        </w:rPr>
        <w:t xml:space="preserve">на ПУП-ПЗ, придружен със СПС за електрификация за поземлен имот с идентификатор 32024.66.274 по КККР на гр. Ивайловград, общ. Ивайловград, обл. Хасково </w:t>
      </w:r>
      <w:r w:rsidRPr="001576C4">
        <w:rPr>
          <w:rFonts w:ascii="Times New Roman" w:hAnsi="Times New Roman"/>
          <w:sz w:val="24"/>
          <w:szCs w:val="24"/>
        </w:rPr>
        <w:t>е да се създадат устройствени условия за реализиране на инвестиционното намерение на възложител</w:t>
      </w:r>
      <w:r w:rsidR="00A43524" w:rsidRPr="001576C4">
        <w:rPr>
          <w:rFonts w:ascii="Times New Roman" w:hAnsi="Times New Roman"/>
          <w:sz w:val="24"/>
          <w:szCs w:val="24"/>
        </w:rPr>
        <w:t>я</w:t>
      </w:r>
      <w:r w:rsidRPr="001576C4">
        <w:rPr>
          <w:rFonts w:ascii="Times New Roman" w:hAnsi="Times New Roman"/>
          <w:sz w:val="24"/>
          <w:szCs w:val="24"/>
        </w:rPr>
        <w:t xml:space="preserve"> за изграждане на фотоволтаична електроцентрала </w:t>
      </w:r>
      <w:r w:rsidR="00C44786" w:rsidRPr="001576C4">
        <w:rPr>
          <w:rFonts w:ascii="Times New Roman" w:hAnsi="Times New Roman"/>
          <w:sz w:val="24"/>
          <w:szCs w:val="24"/>
        </w:rPr>
        <w:t xml:space="preserve">с мощност </w:t>
      </w:r>
      <w:r w:rsidR="00DF3DCD" w:rsidRPr="001576C4">
        <w:rPr>
          <w:rFonts w:ascii="Times New Roman" w:hAnsi="Times New Roman"/>
          <w:sz w:val="24"/>
          <w:szCs w:val="24"/>
        </w:rPr>
        <w:t xml:space="preserve">1678 </w:t>
      </w:r>
      <w:proofErr w:type="spellStart"/>
      <w:r w:rsidR="00DF3DCD" w:rsidRPr="001576C4">
        <w:rPr>
          <w:rFonts w:ascii="Times New Roman" w:hAnsi="Times New Roman"/>
          <w:sz w:val="24"/>
          <w:szCs w:val="24"/>
        </w:rPr>
        <w:t>kWp</w:t>
      </w:r>
      <w:proofErr w:type="spellEnd"/>
      <w:r w:rsidRPr="001576C4">
        <w:rPr>
          <w:rFonts w:ascii="Times New Roman" w:hAnsi="Times New Roman"/>
          <w:sz w:val="24"/>
          <w:szCs w:val="24"/>
        </w:rPr>
        <w:t>. Така се допринася за създаване на условия за изграждане на обект за производство на електроенергия от възобновяеми източници (слънчева енергия). С изграждането и експлоатацията на фотоволтаичната електроцентрала ще се експлоатира единствено слънчева енергия.</w:t>
      </w:r>
    </w:p>
    <w:p w:rsidR="00170F3F" w:rsidRPr="001576C4" w:rsidRDefault="00615E30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DF3DCD" w:rsidRPr="001576C4">
        <w:rPr>
          <w:rFonts w:ascii="Times New Roman" w:hAnsi="Times New Roman"/>
          <w:sz w:val="24"/>
          <w:szCs w:val="24"/>
        </w:rPr>
        <w:t>плана</w:t>
      </w:r>
      <w:r w:rsidR="00C44786" w:rsidRPr="001576C4">
        <w:rPr>
          <w:rFonts w:ascii="Times New Roman" w:hAnsi="Times New Roman"/>
          <w:sz w:val="24"/>
          <w:szCs w:val="24"/>
        </w:rPr>
        <w:t xml:space="preserve"> </w:t>
      </w:r>
      <w:r w:rsidRPr="001576C4">
        <w:rPr>
          <w:rFonts w:ascii="Times New Roman" w:hAnsi="Times New Roman"/>
          <w:sz w:val="24"/>
          <w:szCs w:val="24"/>
        </w:rPr>
        <w:t xml:space="preserve">не са установени екологични проблеми, върху които реализирането </w:t>
      </w:r>
      <w:r w:rsidR="0071067B" w:rsidRPr="001576C4">
        <w:rPr>
          <w:rFonts w:ascii="Times New Roman" w:hAnsi="Times New Roman"/>
          <w:sz w:val="24"/>
          <w:szCs w:val="24"/>
        </w:rPr>
        <w:t>му</w:t>
      </w:r>
      <w:r w:rsidRPr="001576C4">
        <w:rPr>
          <w:rFonts w:ascii="Times New Roman" w:hAnsi="Times New Roman"/>
          <w:sz w:val="24"/>
          <w:szCs w:val="24"/>
        </w:rPr>
        <w:t xml:space="preserve"> би оказало допълнително негативно въздействие.</w:t>
      </w:r>
    </w:p>
    <w:p w:rsidR="00170F3F" w:rsidRPr="001576C4" w:rsidRDefault="00170F3F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 xml:space="preserve">На основание чл. 37, ал. 3 от Наредбата за ОС, след преглед на представената информация, предвид характера и местоположението на ПУП-ПЗ и въз основа на критериите по чл. 16 от нея, е направена преценка на вероятната степен на отрицателно въздействие, според която </w:t>
      </w:r>
      <w:r w:rsidR="001576C4" w:rsidRPr="001576C4">
        <w:rPr>
          <w:rFonts w:ascii="Times New Roman" w:hAnsi="Times New Roman"/>
          <w:sz w:val="24"/>
          <w:szCs w:val="24"/>
        </w:rPr>
        <w:t>ПУП-ПЗ, придружен със СПС за електрификация за поземлен имот с идентификатор 32024.66.274 по КККР на гр. Ивайловград, общ. Ивайловград, обл. Хасково</w:t>
      </w:r>
      <w:r w:rsidRPr="001576C4">
        <w:rPr>
          <w:rFonts w:ascii="Times New Roman" w:hAnsi="Times New Roman"/>
          <w:sz w:val="24"/>
          <w:szCs w:val="24"/>
        </w:rPr>
        <w:t xml:space="preserve"> с цел изграждане на </w:t>
      </w:r>
      <w:r w:rsidRPr="001576C4">
        <w:rPr>
          <w:rFonts w:ascii="Times New Roman" w:hAnsi="Times New Roman"/>
          <w:sz w:val="24"/>
          <w:szCs w:val="24"/>
        </w:rPr>
        <w:lastRenderedPageBreak/>
        <w:t xml:space="preserve">фотоволтаична електроцентрала с номинална генераторна мощност 1678 </w:t>
      </w:r>
      <w:proofErr w:type="spellStart"/>
      <w:r w:rsidRPr="001576C4">
        <w:rPr>
          <w:rFonts w:ascii="Times New Roman" w:hAnsi="Times New Roman"/>
          <w:sz w:val="24"/>
          <w:szCs w:val="24"/>
        </w:rPr>
        <w:t>kWp</w:t>
      </w:r>
      <w:proofErr w:type="spellEnd"/>
      <w:r w:rsidRPr="001576C4">
        <w:rPr>
          <w:rFonts w:ascii="Times New Roman" w:hAnsi="Times New Roman"/>
          <w:sz w:val="24"/>
          <w:szCs w:val="24"/>
        </w:rPr>
        <w:t xml:space="preserve"> </w:t>
      </w:r>
      <w:r w:rsidRPr="001576C4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1576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576C4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1576C4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1576C4">
        <w:rPr>
          <w:rFonts w:ascii="Times New Roman" w:hAnsi="Times New Roman"/>
          <w:sz w:val="24"/>
          <w:szCs w:val="24"/>
        </w:rPr>
        <w:t>природни местообитания, популации и местообитания на видове предмет на опазване в близко разположените защитени зони BG0001032 „Родопи Източни” и BG0002106 „Язовир Ивайловград”, поради следните мотиви:</w:t>
      </w:r>
    </w:p>
    <w:p w:rsidR="00170F3F" w:rsidRPr="001576C4" w:rsidRDefault="00170F3F" w:rsidP="001576C4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>ПУП-П</w:t>
      </w:r>
      <w:r w:rsidR="001576C4" w:rsidRPr="001576C4">
        <w:rPr>
          <w:rFonts w:ascii="Times New Roman" w:hAnsi="Times New Roman"/>
          <w:sz w:val="24"/>
          <w:szCs w:val="24"/>
        </w:rPr>
        <w:t>З е предвиден</w:t>
      </w:r>
      <w:r w:rsidRPr="001576C4">
        <w:rPr>
          <w:rFonts w:ascii="Times New Roman" w:hAnsi="Times New Roman"/>
          <w:sz w:val="24"/>
          <w:szCs w:val="24"/>
        </w:rPr>
        <w:t xml:space="preserve">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най-близките защитени зони;</w:t>
      </w:r>
    </w:p>
    <w:p w:rsidR="00170F3F" w:rsidRPr="001576C4" w:rsidRDefault="00170F3F" w:rsidP="001576C4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>не се предполага и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им,</w:t>
      </w:r>
      <w:r w:rsidRPr="001576C4">
        <w:rPr>
          <w:rFonts w:ascii="Times New Roman" w:eastAsia="Times New Roman" w:hAnsi="Times New Roman"/>
          <w:sz w:val="24"/>
          <w:szCs w:val="24"/>
        </w:rPr>
        <w:t xml:space="preserve"> т.к. имота е разположен в урбанизираната територия на гр. Ивайловград.</w:t>
      </w:r>
      <w:r w:rsidRPr="001576C4">
        <w:rPr>
          <w:rFonts w:ascii="Times New Roman" w:hAnsi="Times New Roman"/>
          <w:sz w:val="24"/>
          <w:szCs w:val="24"/>
        </w:rPr>
        <w:t xml:space="preserve"> </w:t>
      </w:r>
    </w:p>
    <w:p w:rsidR="00170F3F" w:rsidRPr="001576C4" w:rsidRDefault="00170F3F" w:rsidP="001576C4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>не се очаква ПУП-ПЗ да доведе до кумулативно въздействие със значителен ефект върху видове и местообитания предмет на опазване в близко разположените защитени зони, като резултат от реализацията му спрямо одобрените до момента планове, програми, проекти и/или инвестиционн</w:t>
      </w:r>
      <w:r w:rsidR="001576C4" w:rsidRPr="001576C4">
        <w:rPr>
          <w:rFonts w:ascii="Times New Roman" w:hAnsi="Times New Roman"/>
          <w:sz w:val="24"/>
          <w:szCs w:val="24"/>
        </w:rPr>
        <w:t>и</w:t>
      </w:r>
      <w:r w:rsidRPr="001576C4">
        <w:rPr>
          <w:rFonts w:ascii="Times New Roman" w:hAnsi="Times New Roman"/>
          <w:sz w:val="24"/>
          <w:szCs w:val="24"/>
        </w:rPr>
        <w:t xml:space="preserve"> предложения със сходен характер в землището на гр. Ивайловград;</w:t>
      </w:r>
    </w:p>
    <w:p w:rsidR="003B7027" w:rsidRPr="001576C4" w:rsidRDefault="003B7027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1576C4" w:rsidRPr="001576C4">
        <w:rPr>
          <w:rFonts w:ascii="Times New Roman" w:hAnsi="Times New Roman"/>
          <w:sz w:val="24"/>
          <w:szCs w:val="24"/>
        </w:rPr>
        <w:t>35</w:t>
      </w:r>
      <w:r w:rsidRPr="001576C4">
        <w:rPr>
          <w:rFonts w:ascii="Times New Roman" w:hAnsi="Times New Roman"/>
          <w:sz w:val="24"/>
          <w:szCs w:val="24"/>
        </w:rPr>
        <w:t>#1/</w:t>
      </w:r>
      <w:r w:rsidR="00A86950" w:rsidRPr="001576C4">
        <w:rPr>
          <w:rFonts w:ascii="Times New Roman" w:hAnsi="Times New Roman"/>
          <w:sz w:val="24"/>
          <w:szCs w:val="24"/>
        </w:rPr>
        <w:t>1</w:t>
      </w:r>
      <w:r w:rsidR="001576C4" w:rsidRPr="001576C4">
        <w:rPr>
          <w:rFonts w:ascii="Times New Roman" w:hAnsi="Times New Roman"/>
          <w:sz w:val="24"/>
          <w:szCs w:val="24"/>
        </w:rPr>
        <w:t>7</w:t>
      </w:r>
      <w:r w:rsidRPr="001576C4">
        <w:rPr>
          <w:rFonts w:ascii="Times New Roman" w:hAnsi="Times New Roman"/>
          <w:sz w:val="24"/>
          <w:szCs w:val="24"/>
        </w:rPr>
        <w:t>.03.2023 г., че липсва основание за наличие на значително въздействие и възникване на риск за човешкото здраве при прилагане на плана.</w:t>
      </w:r>
    </w:p>
    <w:p w:rsidR="00353EEE" w:rsidRPr="001576C4" w:rsidRDefault="008924FB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 xml:space="preserve">Предвид характера </w:t>
      </w:r>
      <w:r w:rsidR="003558AA" w:rsidRPr="001576C4">
        <w:rPr>
          <w:rFonts w:ascii="Times New Roman" w:hAnsi="Times New Roman"/>
          <w:sz w:val="24"/>
          <w:szCs w:val="24"/>
        </w:rPr>
        <w:t xml:space="preserve">и местоположението на територията </w:t>
      </w:r>
      <w:r w:rsidRPr="001576C4">
        <w:rPr>
          <w:rFonts w:ascii="Times New Roman" w:hAnsi="Times New Roman"/>
          <w:sz w:val="24"/>
          <w:szCs w:val="24"/>
        </w:rPr>
        <w:t xml:space="preserve">на </w:t>
      </w:r>
      <w:r w:rsidR="00A86950" w:rsidRPr="001576C4">
        <w:rPr>
          <w:rFonts w:ascii="Times New Roman" w:hAnsi="Times New Roman"/>
          <w:sz w:val="24"/>
          <w:szCs w:val="24"/>
        </w:rPr>
        <w:t xml:space="preserve">изменение на </w:t>
      </w:r>
      <w:r w:rsidR="003558AA" w:rsidRPr="001576C4">
        <w:rPr>
          <w:rFonts w:ascii="Times New Roman" w:hAnsi="Times New Roman"/>
          <w:sz w:val="24"/>
          <w:szCs w:val="24"/>
        </w:rPr>
        <w:t xml:space="preserve">плана </w:t>
      </w:r>
      <w:r w:rsidR="00353EEE" w:rsidRPr="001576C4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4350C9" w:rsidRPr="001576C4" w:rsidRDefault="004350C9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A86950" w:rsidRPr="001576C4" w:rsidRDefault="00A86950" w:rsidP="003558A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558AA" w:rsidRPr="001576C4" w:rsidRDefault="003558AA" w:rsidP="00A8695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1576C4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1576C4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1576C4" w:rsidRDefault="00286D6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1576C4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1576C4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1576C4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1576C4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1576C4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1576C4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3558AA" w:rsidRPr="001576C4" w:rsidRDefault="003558AA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3558AA" w:rsidRPr="001576C4" w:rsidRDefault="003558AA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024AF" w:rsidRPr="001576C4" w:rsidRDefault="00B233D6" w:rsidP="003558AA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МК</w:t>
      </w:r>
    </w:p>
    <w:p w:rsidR="00F024AF" w:rsidRPr="001576C4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1576C4">
        <w:rPr>
          <w:rFonts w:ascii="Times New Roman" w:hAnsi="Times New Roman"/>
          <w:i/>
          <w:sz w:val="24"/>
          <w:szCs w:val="24"/>
          <w:lang w:val="bg-BG"/>
        </w:rPr>
        <w:t>И.</w:t>
      </w:r>
      <w:r w:rsidR="003B7027" w:rsidRPr="001576C4">
        <w:rPr>
          <w:rFonts w:ascii="Times New Roman" w:hAnsi="Times New Roman"/>
          <w:i/>
          <w:sz w:val="24"/>
          <w:szCs w:val="24"/>
          <w:lang w:val="bg-BG"/>
        </w:rPr>
        <w:t>д</w:t>
      </w:r>
      <w:r w:rsidRPr="001576C4">
        <w:rPr>
          <w:rFonts w:ascii="Times New Roman" w:hAnsi="Times New Roman"/>
          <w:i/>
          <w:sz w:val="24"/>
          <w:szCs w:val="24"/>
          <w:lang w:val="bg-BG"/>
        </w:rPr>
        <w:t xml:space="preserve">. Директор на Регионална инспекция по </w:t>
      </w:r>
    </w:p>
    <w:p w:rsidR="006800FF" w:rsidRPr="001576C4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1576C4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A86950" w:rsidRPr="001576C4" w:rsidRDefault="00A86950" w:rsidP="003558AA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900320" w:rsidRPr="001576C4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576C4" w:rsidRPr="001576C4">
        <w:rPr>
          <w:rFonts w:ascii="Times New Roman" w:hAnsi="Times New Roman"/>
          <w:b/>
          <w:sz w:val="24"/>
          <w:szCs w:val="24"/>
          <w:lang w:val="bg-BG"/>
        </w:rPr>
        <w:t>03</w:t>
      </w:r>
      <w:r w:rsidR="00092F85" w:rsidRPr="001576C4">
        <w:rPr>
          <w:rFonts w:ascii="Times New Roman" w:hAnsi="Times New Roman"/>
          <w:b/>
          <w:sz w:val="24"/>
          <w:szCs w:val="24"/>
          <w:lang w:val="bg-BG"/>
        </w:rPr>
        <w:t>.0</w:t>
      </w:r>
      <w:r w:rsidR="001576C4" w:rsidRPr="001576C4">
        <w:rPr>
          <w:rFonts w:ascii="Times New Roman" w:hAnsi="Times New Roman"/>
          <w:b/>
          <w:sz w:val="24"/>
          <w:szCs w:val="24"/>
          <w:lang w:val="bg-BG"/>
        </w:rPr>
        <w:t>4</w:t>
      </w:r>
      <w:r w:rsidR="00092F85" w:rsidRPr="001576C4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1576C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900320" w:rsidRPr="001576C4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0F" w:rsidRDefault="00930D0F">
      <w:r>
        <w:separator/>
      </w:r>
    </w:p>
  </w:endnote>
  <w:endnote w:type="continuationSeparator" w:id="0">
    <w:p w:rsidR="00930D0F" w:rsidRDefault="0093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B233D6" w:rsidRPr="00B233D6">
          <w:rPr>
            <w:rFonts w:ascii="Times New Roman" w:hAnsi="Times New Roman"/>
            <w:noProof/>
            <w:lang w:val="bg-BG"/>
          </w:rPr>
          <w:t>2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0F" w:rsidRDefault="00930D0F">
      <w:r>
        <w:separator/>
      </w:r>
    </w:p>
  </w:footnote>
  <w:footnote w:type="continuationSeparator" w:id="0">
    <w:p w:rsidR="00930D0F" w:rsidRDefault="00930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7"/>
  </w:num>
  <w:num w:numId="3">
    <w:abstractNumId w:val="20"/>
  </w:num>
  <w:num w:numId="4">
    <w:abstractNumId w:val="2"/>
  </w:num>
  <w:num w:numId="5">
    <w:abstractNumId w:val="7"/>
  </w:num>
  <w:num w:numId="6">
    <w:abstractNumId w:val="0"/>
  </w:num>
  <w:num w:numId="7">
    <w:abstractNumId w:val="29"/>
  </w:num>
  <w:num w:numId="8">
    <w:abstractNumId w:val="25"/>
  </w:num>
  <w:num w:numId="9">
    <w:abstractNumId w:val="3"/>
  </w:num>
  <w:num w:numId="10">
    <w:abstractNumId w:val="6"/>
  </w:num>
  <w:num w:numId="11">
    <w:abstractNumId w:val="1"/>
  </w:num>
  <w:num w:numId="12">
    <w:abstractNumId w:val="23"/>
  </w:num>
  <w:num w:numId="13">
    <w:abstractNumId w:val="8"/>
  </w:num>
  <w:num w:numId="14">
    <w:abstractNumId w:val="15"/>
  </w:num>
  <w:num w:numId="15">
    <w:abstractNumId w:val="10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30"/>
  </w:num>
  <w:num w:numId="21">
    <w:abstractNumId w:val="12"/>
  </w:num>
  <w:num w:numId="22">
    <w:abstractNumId w:val="14"/>
  </w:num>
  <w:num w:numId="23">
    <w:abstractNumId w:val="19"/>
  </w:num>
  <w:num w:numId="24">
    <w:abstractNumId w:val="4"/>
  </w:num>
  <w:num w:numId="25">
    <w:abstractNumId w:val="21"/>
  </w:num>
  <w:num w:numId="26">
    <w:abstractNumId w:val="22"/>
  </w:num>
  <w:num w:numId="27">
    <w:abstractNumId w:val="13"/>
  </w:num>
  <w:num w:numId="28">
    <w:abstractNumId w:val="18"/>
  </w:num>
  <w:num w:numId="29">
    <w:abstractNumId w:val="16"/>
  </w:num>
  <w:num w:numId="30">
    <w:abstractNumId w:val="5"/>
  </w:num>
  <w:num w:numId="31">
    <w:abstractNumId w:val="17"/>
  </w:num>
  <w:num w:numId="3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92F85"/>
    <w:rsid w:val="0009440B"/>
    <w:rsid w:val="0009525E"/>
    <w:rsid w:val="0009564B"/>
    <w:rsid w:val="00096AC7"/>
    <w:rsid w:val="000A2443"/>
    <w:rsid w:val="000B11A7"/>
    <w:rsid w:val="000B189D"/>
    <w:rsid w:val="000B7E26"/>
    <w:rsid w:val="000C24EE"/>
    <w:rsid w:val="000C52E7"/>
    <w:rsid w:val="000D054A"/>
    <w:rsid w:val="000E4B63"/>
    <w:rsid w:val="000E7477"/>
    <w:rsid w:val="000F1D84"/>
    <w:rsid w:val="000F1DB4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216"/>
    <w:rsid w:val="00137B08"/>
    <w:rsid w:val="0014070F"/>
    <w:rsid w:val="00140C2F"/>
    <w:rsid w:val="00142744"/>
    <w:rsid w:val="00142B7C"/>
    <w:rsid w:val="001542DB"/>
    <w:rsid w:val="001576C4"/>
    <w:rsid w:val="00157D1E"/>
    <w:rsid w:val="00160CA5"/>
    <w:rsid w:val="00162326"/>
    <w:rsid w:val="001658A1"/>
    <w:rsid w:val="00170F3F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BA5"/>
    <w:rsid w:val="001B4D96"/>
    <w:rsid w:val="001B595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A60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C311A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23BE5"/>
    <w:rsid w:val="00324274"/>
    <w:rsid w:val="00330EC7"/>
    <w:rsid w:val="00335ECB"/>
    <w:rsid w:val="00340466"/>
    <w:rsid w:val="00342688"/>
    <w:rsid w:val="003441D7"/>
    <w:rsid w:val="003526C2"/>
    <w:rsid w:val="00352F4E"/>
    <w:rsid w:val="003533A0"/>
    <w:rsid w:val="00353EEE"/>
    <w:rsid w:val="003558AA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3115"/>
    <w:rsid w:val="003B5E41"/>
    <w:rsid w:val="003B6F9B"/>
    <w:rsid w:val="003B7027"/>
    <w:rsid w:val="003C53E8"/>
    <w:rsid w:val="003C56B8"/>
    <w:rsid w:val="003C5B94"/>
    <w:rsid w:val="003D020A"/>
    <w:rsid w:val="003D1AAA"/>
    <w:rsid w:val="003D287A"/>
    <w:rsid w:val="003D64E0"/>
    <w:rsid w:val="003E3854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5E10"/>
    <w:rsid w:val="0041699F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26C6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E426A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1277"/>
    <w:rsid w:val="00661C46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F17E3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C6544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0CD5"/>
    <w:rsid w:val="008625DB"/>
    <w:rsid w:val="008626AD"/>
    <w:rsid w:val="00862B88"/>
    <w:rsid w:val="00867E7D"/>
    <w:rsid w:val="00870F88"/>
    <w:rsid w:val="008719BB"/>
    <w:rsid w:val="00892294"/>
    <w:rsid w:val="0089242E"/>
    <w:rsid w:val="008924FB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0320"/>
    <w:rsid w:val="00904C98"/>
    <w:rsid w:val="0090760C"/>
    <w:rsid w:val="00912C5A"/>
    <w:rsid w:val="00921C73"/>
    <w:rsid w:val="00924EAA"/>
    <w:rsid w:val="00930D0F"/>
    <w:rsid w:val="00932AB9"/>
    <w:rsid w:val="00932D02"/>
    <w:rsid w:val="0093490F"/>
    <w:rsid w:val="00936425"/>
    <w:rsid w:val="009373B6"/>
    <w:rsid w:val="00946775"/>
    <w:rsid w:val="00946D85"/>
    <w:rsid w:val="00951133"/>
    <w:rsid w:val="00951267"/>
    <w:rsid w:val="00952B01"/>
    <w:rsid w:val="009578CF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5C28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524"/>
    <w:rsid w:val="00A438A5"/>
    <w:rsid w:val="00A447DE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EB9"/>
    <w:rsid w:val="00B028BB"/>
    <w:rsid w:val="00B04394"/>
    <w:rsid w:val="00B060AE"/>
    <w:rsid w:val="00B12105"/>
    <w:rsid w:val="00B2255F"/>
    <w:rsid w:val="00B233D6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5D3"/>
    <w:rsid w:val="00B7645F"/>
    <w:rsid w:val="00B76562"/>
    <w:rsid w:val="00B80F1E"/>
    <w:rsid w:val="00B858CF"/>
    <w:rsid w:val="00BA344C"/>
    <w:rsid w:val="00BA59E7"/>
    <w:rsid w:val="00BA622F"/>
    <w:rsid w:val="00BB034B"/>
    <w:rsid w:val="00BB0B1A"/>
    <w:rsid w:val="00BC785C"/>
    <w:rsid w:val="00BC7F7A"/>
    <w:rsid w:val="00BD0264"/>
    <w:rsid w:val="00BD4A64"/>
    <w:rsid w:val="00BE2981"/>
    <w:rsid w:val="00BE5BF4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26DFB"/>
    <w:rsid w:val="00C3405A"/>
    <w:rsid w:val="00C36910"/>
    <w:rsid w:val="00C37565"/>
    <w:rsid w:val="00C37D0A"/>
    <w:rsid w:val="00C44786"/>
    <w:rsid w:val="00C46715"/>
    <w:rsid w:val="00C469D3"/>
    <w:rsid w:val="00C473A4"/>
    <w:rsid w:val="00C473D9"/>
    <w:rsid w:val="00C51D17"/>
    <w:rsid w:val="00C577BD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B5C18"/>
    <w:rsid w:val="00CB6B78"/>
    <w:rsid w:val="00CC1996"/>
    <w:rsid w:val="00CC2069"/>
    <w:rsid w:val="00CC6E82"/>
    <w:rsid w:val="00CC6FFF"/>
    <w:rsid w:val="00CC72CA"/>
    <w:rsid w:val="00CD0EE6"/>
    <w:rsid w:val="00CD151E"/>
    <w:rsid w:val="00CD1F33"/>
    <w:rsid w:val="00CD2F67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698C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44E2"/>
    <w:rsid w:val="00E42451"/>
    <w:rsid w:val="00E46C1A"/>
    <w:rsid w:val="00E5179C"/>
    <w:rsid w:val="00E55BF5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1BD6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3043C"/>
    <w:rsid w:val="00F362FE"/>
    <w:rsid w:val="00F363CE"/>
    <w:rsid w:val="00F369B6"/>
    <w:rsid w:val="00F42812"/>
    <w:rsid w:val="00F430B8"/>
    <w:rsid w:val="00F434A0"/>
    <w:rsid w:val="00F444BE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4EC7"/>
    <w:rsid w:val="00F81945"/>
    <w:rsid w:val="00F831FD"/>
    <w:rsid w:val="00F93345"/>
    <w:rsid w:val="00FA2004"/>
    <w:rsid w:val="00FA3A26"/>
    <w:rsid w:val="00FB5E45"/>
    <w:rsid w:val="00FC3072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C0340-DEFF-41FB-83DB-13D5E11C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4592</TotalTime>
  <Pages>1</Pages>
  <Words>1400</Words>
  <Characters>7986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9368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225</cp:revision>
  <cp:lastPrinted>2023-04-03T07:14:00Z</cp:lastPrinted>
  <dcterms:created xsi:type="dcterms:W3CDTF">2021-11-11T09:41:00Z</dcterms:created>
  <dcterms:modified xsi:type="dcterms:W3CDTF">2023-10-27T09:22:00Z</dcterms:modified>
</cp:coreProperties>
</file>