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AD" w:rsidRDefault="00D756AD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6B3DB1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62584C" w:rsidRPr="000F1520" w:rsidRDefault="0062584C" w:rsidP="0062584C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E7387B">
        <w:rPr>
          <w:rFonts w:ascii="Times New Roman" w:hAnsi="Times New Roman"/>
          <w:b/>
          <w:sz w:val="24"/>
          <w:szCs w:val="24"/>
          <w:lang w:val="bg-BG"/>
        </w:rPr>
        <w:t>62</w:t>
      </w:r>
      <w:bookmarkStart w:id="0" w:name="_GoBack"/>
      <w:bookmarkEnd w:id="0"/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360F17">
        <w:rPr>
          <w:rFonts w:ascii="Times New Roman" w:hAnsi="Times New Roman"/>
          <w:b/>
          <w:sz w:val="24"/>
          <w:szCs w:val="24"/>
          <w:lang w:val="bg-BG"/>
        </w:rPr>
        <w:t>4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2584C" w:rsidRPr="000F1520" w:rsidRDefault="0062584C" w:rsidP="0062584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="00B12D59" w:rsidRPr="00B12D5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B12D59" w:rsidRPr="00B12D59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, чл. 31, ал. 4 във връзка с ал.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F1520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</w:t>
      </w:r>
      <w:r w:rsidR="00516376">
        <w:rPr>
          <w:rFonts w:ascii="Times New Roman" w:hAnsi="Times New Roman"/>
          <w:sz w:val="24"/>
          <w:szCs w:val="24"/>
          <w:lang w:val="bg-BG"/>
        </w:rPr>
        <w:t>о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516376">
        <w:rPr>
          <w:rFonts w:ascii="Times New Roman" w:hAnsi="Times New Roman"/>
          <w:sz w:val="24"/>
          <w:szCs w:val="24"/>
          <w:lang w:val="bg-BG"/>
        </w:rPr>
        <w:t>е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от Регионал</w:t>
      </w:r>
      <w:r w:rsidR="00360F17">
        <w:rPr>
          <w:rFonts w:ascii="Times New Roman" w:hAnsi="Times New Roman"/>
          <w:sz w:val="24"/>
          <w:szCs w:val="24"/>
          <w:lang w:val="bg-BG"/>
        </w:rPr>
        <w:t>на здравна инспекция – Хасково</w:t>
      </w: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360F17" w:rsidRPr="00360F17">
        <w:rPr>
          <w:rFonts w:ascii="Times New Roman" w:hAnsi="Times New Roman"/>
          <w:sz w:val="24"/>
          <w:szCs w:val="24"/>
          <w:lang w:val="bg-BG"/>
        </w:rPr>
        <w:t>„</w:t>
      </w:r>
      <w:r w:rsidR="00B84AD6" w:rsidRPr="00B84AD6">
        <w:rPr>
          <w:rFonts w:ascii="Times New Roman" w:hAnsi="Times New Roman"/>
          <w:sz w:val="24"/>
          <w:szCs w:val="24"/>
          <w:lang w:val="bg-BG"/>
        </w:rPr>
        <w:t>Подробен устройствен план- Изменение на плана за застрояване на УПИ VII-219 в кв. 70 по плана на с. Хлябово, общ. Тополовград за изграждане на фотоволтаична електроцентрала до 100kW в имота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>“</w:t>
      </w:r>
      <w:r w:rsidRPr="000F1520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F1520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84AD6" w:rsidRPr="00B84AD6">
        <w:rPr>
          <w:rFonts w:ascii="Times New Roman" w:hAnsi="Times New Roman"/>
          <w:sz w:val="24"/>
          <w:szCs w:val="24"/>
          <w:lang w:val="bg-BG"/>
        </w:rPr>
        <w:t>„ЛИ ЕНЕРДЖИ 2023“ ЕООД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B84AD6" w:rsidRPr="00B84AD6">
        <w:rPr>
          <w:rFonts w:ascii="Times New Roman" w:hAnsi="Times New Roman"/>
          <w:sz w:val="24"/>
          <w:szCs w:val="24"/>
          <w:lang w:val="bg-BG"/>
        </w:rPr>
        <w:t>207551104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84AD6" w:rsidRPr="00B84AD6" w:rsidRDefault="0062584C" w:rsidP="00B84AD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4AD6" w:rsidRPr="008F6562">
        <w:rPr>
          <w:rFonts w:ascii="Times New Roman" w:hAnsi="Times New Roman"/>
          <w:sz w:val="24"/>
          <w:szCs w:val="24"/>
          <w:lang w:val="bg-BG"/>
        </w:rPr>
        <w:t>40</w:t>
      </w:r>
      <w:r w:rsidR="001B740D" w:rsidRPr="008F6562">
        <w:rPr>
          <w:rFonts w:ascii="Times New Roman" w:hAnsi="Times New Roman"/>
          <w:sz w:val="24"/>
          <w:szCs w:val="24"/>
          <w:lang w:val="bg-BG"/>
        </w:rPr>
        <w:t>00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 xml:space="preserve"> град </w:t>
      </w:r>
      <w:r w:rsidR="00B84AD6">
        <w:rPr>
          <w:rFonts w:ascii="Times New Roman" w:hAnsi="Times New Roman"/>
          <w:sz w:val="24"/>
          <w:szCs w:val="24"/>
          <w:lang w:val="bg-BG"/>
        </w:rPr>
        <w:t>Пловдив</w:t>
      </w:r>
      <w:r w:rsidR="009E0CF7" w:rsidRPr="000F152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84AD6" w:rsidRPr="00B84AD6">
        <w:rPr>
          <w:rFonts w:ascii="Times New Roman" w:hAnsi="Times New Roman"/>
          <w:sz w:val="24"/>
          <w:szCs w:val="24"/>
          <w:lang w:val="bg-BG"/>
        </w:rPr>
        <w:t>бул. „Никола Вапцаров“ № 99, ет. 4, ап. 40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0CF7" w:rsidRPr="000F1520" w:rsidRDefault="009E0CF7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B84AD6" w:rsidRPr="00B84AD6" w:rsidRDefault="00B84AD6" w:rsidP="00B84AD6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4AD6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постъпилата информация се предвижда изработване на Подробен устройствен план- Изменение на плана за застрояване на УПИ VII-219 в кв. 70 по плана на с. Хлябово, общ. Тополовград, с цел отреждане на имота „за предимно производствена дейност – за ФЕЦ“. В имота ще бъде изградена фотоволтаична електроцентрала и външно кабелно захранване на ФЕЦ. </w:t>
      </w:r>
    </w:p>
    <w:p w:rsidR="00B84AD6" w:rsidRDefault="00B84AD6" w:rsidP="00B84AD6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4AD6">
        <w:rPr>
          <w:rFonts w:ascii="Times New Roman" w:hAnsi="Times New Roman"/>
          <w:bCs/>
          <w:iCs/>
          <w:sz w:val="24"/>
          <w:szCs w:val="24"/>
          <w:lang w:val="bg-BG"/>
        </w:rPr>
        <w:t>ПУП-ПЗ на УПИ VII-219 в кв. 70 по плана на с. Хлябово, общ. Тополовград се разработва на основание Заповед № 5/16.02.2024г на кмета на община Тополовград</w:t>
      </w:r>
      <w:r w:rsidR="007A218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90576" w:rsidRDefault="00683D20" w:rsidP="00683D20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24465">
        <w:rPr>
          <w:rFonts w:ascii="Times New Roman" w:hAnsi="Times New Roman"/>
          <w:bCs/>
          <w:iCs/>
          <w:sz w:val="24"/>
          <w:szCs w:val="24"/>
          <w:lang w:val="bg-BG"/>
        </w:rPr>
        <w:t xml:space="preserve">Целта е в </w:t>
      </w:r>
      <w:r w:rsidR="00B84AD6" w:rsidRPr="00B84AD6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VII-219 в кв. 70 по плана на с. Хлябово, общ. Тополовград </w:t>
      </w:r>
      <w:r w:rsidRPr="00624465">
        <w:rPr>
          <w:rFonts w:ascii="Times New Roman" w:hAnsi="Times New Roman"/>
          <w:bCs/>
          <w:iCs/>
          <w:sz w:val="24"/>
          <w:szCs w:val="24"/>
          <w:lang w:val="bg-BG"/>
        </w:rPr>
        <w:t xml:space="preserve">да се проектира, изгради и експлоатира инсталация за производство на електрическа енергия, чрез преобразуване и оползотворяване на </w:t>
      </w:r>
      <w:proofErr w:type="spellStart"/>
      <w:r w:rsidRPr="00624465">
        <w:rPr>
          <w:rFonts w:ascii="Times New Roman" w:hAnsi="Times New Roman"/>
          <w:bCs/>
          <w:iCs/>
          <w:sz w:val="24"/>
          <w:szCs w:val="24"/>
          <w:lang w:val="bg-BG"/>
        </w:rPr>
        <w:t>възобновяемата</w:t>
      </w:r>
      <w:proofErr w:type="spellEnd"/>
      <w:r w:rsidRPr="00624465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енергия на слънцето. Инвестиционното намерение на собственика е за монтаж на фотоволтаични панели с обща мощност до </w:t>
      </w:r>
      <w:r w:rsidR="00B84AD6">
        <w:rPr>
          <w:rFonts w:ascii="Times New Roman" w:hAnsi="Times New Roman"/>
          <w:bCs/>
          <w:iCs/>
          <w:sz w:val="24"/>
          <w:szCs w:val="24"/>
          <w:lang w:val="bg-BG"/>
        </w:rPr>
        <w:t>100</w:t>
      </w:r>
      <w:r w:rsidRPr="00624465">
        <w:rPr>
          <w:rFonts w:ascii="Times New Roman" w:hAnsi="Times New Roman"/>
          <w:bCs/>
          <w:iCs/>
          <w:sz w:val="24"/>
          <w:szCs w:val="24"/>
          <w:lang w:val="bg-BG"/>
        </w:rPr>
        <w:t>kWp.</w:t>
      </w:r>
      <w:r w:rsidR="00E9057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683D20" w:rsidRPr="00624465" w:rsidRDefault="00E90576" w:rsidP="00683D20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Съгласно предварителен договор № 4612988/01.04.2024г.на „Електроразпределение Юг“, ЕАД, мястото на присъединяване на обекта към електроразпределителната мрежа ще бъде табло ниско напрежение, ТП/БКТП 6- Хлябово, КЛ/ВЛ Бълг. Поляна, п/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Тополовград.</w:t>
      </w:r>
    </w:p>
    <w:p w:rsidR="0062584C" w:rsidRPr="000F1520" w:rsidRDefault="0062584C" w:rsidP="00562036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ПУП, възложен по реда на ЗУТ, </w:t>
      </w:r>
      <w:r w:rsidRPr="000F1520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Директора на РИОСВ - Хасково.</w:t>
      </w:r>
    </w:p>
    <w:p w:rsidR="00B84AD6" w:rsidRPr="00B84AD6" w:rsidRDefault="00B84AD6" w:rsidP="00B84AD6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4AD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</w:t>
      </w:r>
      <w:r w:rsidRPr="00B84AD6">
        <w:rPr>
          <w:rFonts w:ascii="Times New Roman" w:hAnsi="Times New Roman"/>
          <w:sz w:val="24"/>
          <w:szCs w:val="24"/>
          <w:lang w:val="bg-BG"/>
        </w:rPr>
        <w:lastRenderedPageBreak/>
        <w:t xml:space="preserve">установи, че УПИ VII-219, кв.70 по плана на с.Хлябово, общ.Тополовград, за който се предвижда ПУП-ПЗ с цел отреждането му „за предимно производствена дейност – за ФЕЦ“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обявени по смисъла на Закона за защитените територии, но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попада в границите на защитени зони BG0000212 „Сакар”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313/31.03.2021г. и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РД-758/19.08.2010г. за опазване на дивите птици. </w:t>
      </w:r>
    </w:p>
    <w:p w:rsidR="00B84AD6" w:rsidRPr="00B84AD6" w:rsidRDefault="00B84AD6" w:rsidP="00B84AD6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4AD6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ал.2 от </w:t>
      </w:r>
      <w:r w:rsidRPr="00B84AD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бе установено, че ПУП-ПЗ на УПИ VII-219, кв.70 по плана на с.Хлябово с цел отреждането му „за предимно производствена дейност – за ФЕЦ“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защитени зони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 xml:space="preserve">BG0002021 „Сакар“ 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при спазване на забраните определени със заповедите за обявяването им.        </w:t>
      </w:r>
    </w:p>
    <w:p w:rsidR="0062584C" w:rsidRPr="00F66454" w:rsidRDefault="00B84AD6" w:rsidP="00B84AD6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4AD6">
        <w:rPr>
          <w:rFonts w:ascii="Times New Roman" w:hAnsi="Times New Roman"/>
          <w:sz w:val="24"/>
          <w:szCs w:val="24"/>
          <w:lang w:val="bg-BG"/>
        </w:rPr>
        <w:t xml:space="preserve">Настоящият ПУП-ПЗ попада в обхвата на чл. 2, ал. 1, т. 1от </w:t>
      </w:r>
      <w:r w:rsidRPr="00B84AD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B84AD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84AD6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</w:t>
      </w:r>
      <w:r w:rsidRPr="00B84AD6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B84AD6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0754A7" w:rsidRPr="00F66454">
        <w:rPr>
          <w:rFonts w:ascii="Times New Roman" w:hAnsi="Times New Roman"/>
          <w:sz w:val="24"/>
          <w:szCs w:val="24"/>
          <w:lang w:val="bg-BG"/>
        </w:rPr>
        <w:t>.</w:t>
      </w:r>
      <w:r w:rsidR="0062584C" w:rsidRPr="00F6645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F66454" w:rsidRDefault="0062584C" w:rsidP="00DB772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B772A" w:rsidRPr="00F66454" w:rsidRDefault="00DB772A" w:rsidP="00DB772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6645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05FB" w:rsidRPr="00F15AC8" w:rsidRDefault="0062584C" w:rsidP="00F15AC8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15AC8">
        <w:rPr>
          <w:rFonts w:ascii="Times New Roman" w:hAnsi="Times New Roman"/>
          <w:sz w:val="24"/>
          <w:szCs w:val="24"/>
          <w:lang w:val="bg-BG"/>
        </w:rPr>
        <w:t>П</w:t>
      </w:r>
      <w:r w:rsidR="007E6F63" w:rsidRPr="00F15AC8">
        <w:rPr>
          <w:rFonts w:ascii="Times New Roman" w:hAnsi="Times New Roman"/>
          <w:sz w:val="24"/>
          <w:szCs w:val="24"/>
          <w:lang w:val="bg-BG"/>
        </w:rPr>
        <w:t>роекта за</w:t>
      </w:r>
      <w:r w:rsidR="007E6F63" w:rsidRPr="00F15AC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2848DE" w:rsidRPr="002848DE">
        <w:rPr>
          <w:rFonts w:ascii="Times New Roman" w:hAnsi="Times New Roman"/>
          <w:bCs/>
          <w:iCs/>
          <w:sz w:val="24"/>
          <w:szCs w:val="24"/>
          <w:lang w:val="bg-BG"/>
        </w:rPr>
        <w:t>Подробен устройствен план- Изменение на плана за застрояване на УПИ VII-219 в кв. 70 по плана на с. Хлябово, общ. Тополовград за изграждане на фотоволтаична електроцентрала до 100kW в имота</w:t>
      </w:r>
      <w:r w:rsidR="0068048A" w:rsidRPr="0068048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F15AC8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Pr="00F15AC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15AC8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68048A">
        <w:rPr>
          <w:rFonts w:ascii="Times New Roman" w:hAnsi="Times New Roman"/>
          <w:sz w:val="24"/>
          <w:szCs w:val="24"/>
          <w:lang w:val="bg-BG"/>
        </w:rPr>
        <w:t>,</w:t>
      </w:r>
      <w:r w:rsidR="000754A7" w:rsidRPr="00F15AC8">
        <w:rPr>
          <w:rFonts w:ascii="Times New Roman" w:hAnsi="Times New Roman"/>
          <w:sz w:val="24"/>
          <w:szCs w:val="24"/>
          <w:lang w:val="bg-BG"/>
        </w:rPr>
        <w:t xml:space="preserve"> подзаконовите нормативни актове към него</w:t>
      </w:r>
      <w:r w:rsidR="0068048A">
        <w:rPr>
          <w:rFonts w:ascii="Times New Roman" w:hAnsi="Times New Roman"/>
          <w:sz w:val="24"/>
          <w:szCs w:val="24"/>
          <w:lang w:val="bg-BG"/>
        </w:rPr>
        <w:t xml:space="preserve"> и на основание </w:t>
      </w:r>
      <w:r w:rsidR="002848DE" w:rsidRPr="002848DE">
        <w:rPr>
          <w:rFonts w:ascii="Times New Roman" w:hAnsi="Times New Roman"/>
          <w:bCs/>
          <w:iCs/>
          <w:sz w:val="24"/>
          <w:szCs w:val="24"/>
          <w:lang w:val="bg-BG"/>
        </w:rPr>
        <w:t>Заповед № 5/16.02.2024г на кмета на община Тополовград</w:t>
      </w:r>
      <w:r w:rsidR="000A64A0" w:rsidRPr="00F15AC8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0754A7" w:rsidRPr="0068048A" w:rsidRDefault="000201BD" w:rsidP="003932B9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201BD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план- Изменение на плана за застрояване на УПИ VII-219 в кв. 70 по плана на с. Хлябово, общ. Тополовград </w:t>
      </w:r>
      <w:r w:rsidR="00B037C9" w:rsidRPr="00B037C9">
        <w:rPr>
          <w:rFonts w:ascii="Times New Roman" w:hAnsi="Times New Roman"/>
          <w:sz w:val="24"/>
          <w:szCs w:val="24"/>
          <w:lang w:val="bg-BG"/>
        </w:rPr>
        <w:t>е свързано с обособяване на обект, осигуряващ условия за получаване на електрическа енергия</w:t>
      </w:r>
      <w:r w:rsidR="000754A7" w:rsidRPr="003932B9">
        <w:rPr>
          <w:rFonts w:ascii="Times New Roman" w:hAnsi="Times New Roman"/>
          <w:sz w:val="24"/>
          <w:szCs w:val="24"/>
          <w:lang w:val="bg-BG"/>
        </w:rPr>
        <w:t>.</w:t>
      </w:r>
      <w:r w:rsidR="00C13009">
        <w:rPr>
          <w:rFonts w:ascii="Times New Roman" w:hAnsi="Times New Roman"/>
          <w:sz w:val="24"/>
          <w:szCs w:val="24"/>
          <w:lang w:val="bg-BG"/>
        </w:rPr>
        <w:t xml:space="preserve"> Използването на в</w:t>
      </w:r>
      <w:r w:rsidR="0068048A">
        <w:rPr>
          <w:rFonts w:ascii="Times New Roman" w:hAnsi="Times New Roman"/>
          <w:sz w:val="24"/>
          <w:szCs w:val="24"/>
          <w:lang w:val="bg-BG"/>
        </w:rPr>
        <w:t xml:space="preserve">ъзобновяеми енергийни източници </w:t>
      </w:r>
      <w:r w:rsidR="00C13009">
        <w:rPr>
          <w:rFonts w:ascii="Times New Roman" w:hAnsi="Times New Roman"/>
          <w:sz w:val="24"/>
          <w:szCs w:val="24"/>
          <w:lang w:val="bg-BG"/>
        </w:rPr>
        <w:t>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68048A" w:rsidRPr="003932B9" w:rsidRDefault="0068048A" w:rsidP="003932B9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Плана засяга малка по площ територия.</w:t>
      </w:r>
    </w:p>
    <w:p w:rsidR="000754A7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Предвижданията на ПУП-ПЗ на имот</w:t>
      </w:r>
      <w:r w:rsidR="00F66454">
        <w:rPr>
          <w:rFonts w:ascii="Times New Roman" w:hAnsi="Times New Roman"/>
          <w:sz w:val="24"/>
          <w:szCs w:val="24"/>
          <w:lang w:val="bg-BG"/>
        </w:rPr>
        <w:t>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са съобразени и не влизат в противоречие с други съотносими планове и програми на национално, регионално и местно ниво. </w:t>
      </w:r>
      <w:r w:rsidR="005E1A8B" w:rsidRPr="005E1A8B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344640" w:rsidRPr="000F1520" w:rsidRDefault="00344640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Въздействието върху качеството на атмосферния въздух от прилагането на плана ще бъде незначително.</w:t>
      </w:r>
    </w:p>
    <w:p w:rsidR="00DE56DD" w:rsidRDefault="000754A7" w:rsidP="00700780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2584C" w:rsidRPr="00DE56DD" w:rsidRDefault="000201BD" w:rsidP="00700780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201BD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0201BD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201BD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настоящия ПУП-ПЗ и въз основа на критериите по чл.16 от нея, е направена преценка на вероятната степен на отрицателно въздействие, според която ПУП-ПЗ на УПИ VII-219, кв.70 по плана на с.Хлябово с цел отреждането му „за предимно производствена дейност – за ФЕЦ“ </w:t>
      </w:r>
      <w:r w:rsidRPr="000201BD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201BD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62584C" w:rsidRPr="00DE56DD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F15AC8" w:rsidRDefault="000201BD" w:rsidP="00F15AC8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201BD">
        <w:rPr>
          <w:rFonts w:ascii="Times New Roman" w:eastAsia="Calibri" w:hAnsi="Times New Roman"/>
          <w:sz w:val="24"/>
          <w:szCs w:val="24"/>
          <w:lang w:val="bg-BG"/>
        </w:rPr>
        <w:t>УПИ VII-219, кв.70 по плана на с.Хлябово, общ.Тополовград е разположен в урегулираната територия на селото, не представляват природни местообитания и местообитания на видове, вкл. птици, предмет на опазване в защитени зони BG0000212 „Сакар” и  BG0002021 „Сакар” и ПУП-ПЗ няма да доведе до увреждане/унищожаване на такива</w:t>
      </w:r>
      <w:r w:rsidR="003E6027" w:rsidRPr="000F1520">
        <w:rPr>
          <w:rFonts w:ascii="Times New Roman" w:eastAsia="Calibri" w:hAnsi="Times New Roman"/>
          <w:sz w:val="24"/>
          <w:szCs w:val="24"/>
          <w:lang w:val="bg-BG"/>
        </w:rPr>
        <w:t>;</w:t>
      </w:r>
    </w:p>
    <w:p w:rsidR="000C5A99" w:rsidRDefault="000201BD" w:rsidP="000C5A99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201BD">
        <w:rPr>
          <w:rFonts w:ascii="Times New Roman" w:eastAsia="Calibri" w:hAnsi="Times New Roman"/>
          <w:sz w:val="24"/>
          <w:szCs w:val="24"/>
          <w:lang w:val="bg-BG"/>
        </w:rPr>
        <w:t xml:space="preserve">Предвид, че имотът е под </w:t>
      </w:r>
      <w:proofErr w:type="spellStart"/>
      <w:r w:rsidRPr="000201BD">
        <w:rPr>
          <w:rFonts w:ascii="Times New Roman" w:eastAsia="Calibri" w:hAnsi="Times New Roman"/>
          <w:sz w:val="24"/>
          <w:szCs w:val="24"/>
          <w:lang w:val="bg-BG"/>
        </w:rPr>
        <w:t>техногенно</w:t>
      </w:r>
      <w:proofErr w:type="spellEnd"/>
      <w:r w:rsidRPr="000201BD">
        <w:rPr>
          <w:rFonts w:ascii="Times New Roman" w:eastAsia="Calibri" w:hAnsi="Times New Roman"/>
          <w:sz w:val="24"/>
          <w:szCs w:val="24"/>
          <w:lang w:val="bg-BG"/>
        </w:rPr>
        <w:t xml:space="preserve"> и антропогенно натоварване, т.к. е в урбанизираната територия на селото, в него липсват природни местообитания и местообитания на видове предмет на опазване в зоните, то настоящият ПУП-ПЗ няма да доведе до съществено 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</w:t>
      </w:r>
      <w:r w:rsidR="00F15AC8" w:rsidRPr="00F15AC8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:rsidR="00A840A2" w:rsidRDefault="000201BD" w:rsidP="00A840A2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201BD">
        <w:rPr>
          <w:rFonts w:ascii="Times New Roman" w:eastAsia="Calibri" w:hAnsi="Times New Roman"/>
          <w:sz w:val="24"/>
          <w:szCs w:val="24"/>
          <w:lang w:val="bg-BG"/>
        </w:rPr>
        <w:t>ПУП-ПЗ не противоречи на природозащитните цели на защитени зони BG0000212 „Сакар” и  BG0002021 „Сакар”, т.к. имотът нямат стойност като място за опазване, поддържане, подобряване структурата и функциите на природните местообитания, не е подходящ като място за възстановяването на природните местообитания и местообитания на видове, както и няма значение за поддържане свързаността на местообитанията на приоритетни за опазване видове в зоната</w:t>
      </w:r>
      <w:r w:rsidR="000C5A99" w:rsidRPr="000C5A99">
        <w:rPr>
          <w:rFonts w:ascii="Times New Roman" w:eastAsia="Calibri" w:hAnsi="Times New Roman"/>
          <w:sz w:val="24"/>
          <w:szCs w:val="24"/>
          <w:lang w:val="bg-BG"/>
        </w:rPr>
        <w:t xml:space="preserve">.     </w:t>
      </w:r>
    </w:p>
    <w:p w:rsidR="00A840A2" w:rsidRDefault="00A840A2" w:rsidP="00A840A2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840A2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и площта на имота, ПУП-ПЗ няма да окаже въздействие върху целостта на защитени зони BG0000212 „Сакар” и  BG0002021 „Сакар”, както и на свързаността между зоните.  </w:t>
      </w:r>
    </w:p>
    <w:p w:rsidR="00A840A2" w:rsidRDefault="00A840A2" w:rsidP="00A840A2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840A2">
        <w:rPr>
          <w:rFonts w:ascii="Times New Roman" w:eastAsia="Calibri" w:hAnsi="Times New Roman"/>
          <w:sz w:val="24"/>
          <w:szCs w:val="24"/>
          <w:lang w:val="bg-BG"/>
        </w:rPr>
        <w:t xml:space="preserve">Не се очаква генериране на емисии и отпадъци във вид и количества, които да окажат значително отрицателно въздействие върху защитените зони.   </w:t>
      </w:r>
    </w:p>
    <w:p w:rsidR="00C20BFF" w:rsidRPr="00A840A2" w:rsidRDefault="00A840A2" w:rsidP="00A840A2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840A2">
        <w:rPr>
          <w:rFonts w:ascii="Times New Roman" w:eastAsia="Calibri" w:hAnsi="Times New Roman"/>
          <w:sz w:val="24"/>
          <w:szCs w:val="24"/>
          <w:lang w:val="bg-BG"/>
        </w:rPr>
        <w:t>Предвид наличната информация за реализирани ППП/ИП със сходен или друг характер, при взаимодействие, с които оценявания ПУП-ПЗ може да окаже значително отрицателно въздействие върху защитените зони е видно, че прилагането му няма вероятност да доведе до кумулиране на въздействия върху тях</w:t>
      </w:r>
      <w:r w:rsidR="000C5A99" w:rsidRPr="00A840A2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1336E" w:rsidRDefault="0062584C" w:rsidP="0081336E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Хасково с изх. № </w:t>
      </w:r>
      <w:r w:rsidRPr="00345CF3">
        <w:rPr>
          <w:rFonts w:ascii="Times New Roman" w:eastAsia="Calibri" w:hAnsi="Times New Roman"/>
          <w:sz w:val="24"/>
          <w:szCs w:val="24"/>
          <w:lang w:val="bg-BG"/>
        </w:rPr>
        <w:t>10-</w:t>
      </w:r>
      <w:r w:rsidR="00345CF3" w:rsidRPr="00345CF3">
        <w:rPr>
          <w:rFonts w:ascii="Times New Roman" w:eastAsia="Calibri" w:hAnsi="Times New Roman"/>
          <w:sz w:val="24"/>
          <w:szCs w:val="24"/>
          <w:lang w:val="bg-BG"/>
        </w:rPr>
        <w:t>63</w:t>
      </w:r>
      <w:r w:rsidRPr="00345CF3">
        <w:rPr>
          <w:rFonts w:ascii="Times New Roman" w:eastAsia="Calibri" w:hAnsi="Times New Roman"/>
          <w:sz w:val="24"/>
          <w:szCs w:val="24"/>
          <w:lang w:val="bg-BG"/>
        </w:rPr>
        <w:t>-</w:t>
      </w:r>
      <w:r w:rsidR="0023125E" w:rsidRPr="00345CF3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345CF3">
        <w:rPr>
          <w:rFonts w:ascii="Times New Roman" w:eastAsia="Calibri" w:hAnsi="Times New Roman"/>
          <w:sz w:val="24"/>
          <w:szCs w:val="24"/>
          <w:lang w:val="bg-BG"/>
        </w:rPr>
        <w:t>/</w:t>
      </w:r>
      <w:r w:rsidR="00345CF3" w:rsidRPr="00345CF3">
        <w:rPr>
          <w:rFonts w:ascii="Times New Roman" w:eastAsia="Calibri" w:hAnsi="Times New Roman"/>
          <w:sz w:val="24"/>
          <w:szCs w:val="24"/>
          <w:lang w:val="bg-BG"/>
        </w:rPr>
        <w:t>16.08</w:t>
      </w:r>
      <w:r w:rsidR="000E5261" w:rsidRPr="00345CF3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C20BFF" w:rsidRPr="00345CF3">
        <w:rPr>
          <w:rFonts w:ascii="Times New Roman" w:eastAsia="Calibri" w:hAnsi="Times New Roman"/>
          <w:sz w:val="24"/>
          <w:szCs w:val="24"/>
          <w:lang w:val="bg-BG"/>
        </w:rPr>
        <w:t>4</w:t>
      </w:r>
      <w:r w:rsidR="000E5261" w:rsidRPr="00345CF3">
        <w:rPr>
          <w:rFonts w:ascii="Times New Roman" w:eastAsia="Calibri" w:hAnsi="Times New Roman"/>
          <w:sz w:val="24"/>
          <w:szCs w:val="24"/>
          <w:lang w:val="bg-BG"/>
        </w:rPr>
        <w:t>г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., след запознаване с предоставената информация РЗИ счита, че лисва основание за </w:t>
      </w:r>
      <w:r w:rsidR="00603B41">
        <w:rPr>
          <w:rFonts w:ascii="Times New Roman" w:eastAsia="Calibri" w:hAnsi="Times New Roman"/>
          <w:sz w:val="24"/>
          <w:szCs w:val="24"/>
          <w:lang w:val="bg-BG"/>
        </w:rPr>
        <w:t xml:space="preserve">наличие на 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значително въздействие и възникване на риск за човешкото здраве при реализиране на предвижданията на ПУП-ПЗ. 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2584C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0F1520" w:rsidRDefault="000E5261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62584C" w:rsidRPr="000F1520" w:rsidRDefault="0062584C" w:rsidP="0062584C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Pr="000F1520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57195" w:rsidRPr="000F1520" w:rsidRDefault="00157195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C8365A" w:rsidRPr="001A2555" w:rsidRDefault="00C8365A" w:rsidP="00C8365A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2555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C8365A" w:rsidRPr="001A2555" w:rsidRDefault="00C8365A" w:rsidP="00C8365A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A2555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C8365A" w:rsidRPr="00C8365A" w:rsidRDefault="00C8365A" w:rsidP="00C8365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A2555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C8365A" w:rsidRDefault="00C8365A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57195" w:rsidRPr="000F1520" w:rsidRDefault="00157195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F236A7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840A2" w:rsidRPr="00345CF3">
        <w:rPr>
          <w:rFonts w:ascii="Times New Roman" w:hAnsi="Times New Roman"/>
          <w:b/>
          <w:sz w:val="24"/>
          <w:szCs w:val="24"/>
          <w:lang w:val="bg-BG"/>
        </w:rPr>
        <w:t>2</w:t>
      </w:r>
      <w:r w:rsidR="00345CF3" w:rsidRPr="00345CF3">
        <w:rPr>
          <w:rFonts w:ascii="Times New Roman" w:hAnsi="Times New Roman"/>
          <w:b/>
          <w:sz w:val="24"/>
          <w:szCs w:val="24"/>
          <w:lang w:val="bg-BG"/>
        </w:rPr>
        <w:t>7</w:t>
      </w:r>
      <w:r w:rsidR="005D2660" w:rsidRPr="00345CF3">
        <w:rPr>
          <w:rFonts w:ascii="Times New Roman" w:hAnsi="Times New Roman"/>
          <w:b/>
          <w:sz w:val="24"/>
          <w:szCs w:val="24"/>
          <w:lang w:val="bg-BG"/>
        </w:rPr>
        <w:t>.08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1336E">
        <w:rPr>
          <w:rFonts w:ascii="Times New Roman" w:hAnsi="Times New Roman"/>
          <w:b/>
          <w:sz w:val="24"/>
          <w:szCs w:val="24"/>
          <w:lang w:val="bg-BG"/>
        </w:rPr>
        <w:t>4</w:t>
      </w:r>
      <w:r w:rsidR="000E036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E6F63" w:rsidRPr="000F1520" w:rsidRDefault="007E6F63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Началник отдел ПДБРЗТЗ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11768D" w:rsidRPr="000F1520" w:rsidRDefault="0011768D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21173" w:rsidRPr="000F1520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021173" w:rsidRPr="000F1520" w:rsidRDefault="00AD31B8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и</w:t>
      </w:r>
      <w:r w:rsidR="00021173" w:rsidRPr="000F1520">
        <w:rPr>
          <w:rFonts w:ascii="Times New Roman" w:hAnsi="Times New Roman"/>
          <w:i/>
          <w:sz w:val="24"/>
          <w:szCs w:val="24"/>
          <w:lang w:val="ru-RU"/>
        </w:rPr>
        <w:t>нж. Татяна Димитрова</w:t>
      </w:r>
    </w:p>
    <w:p w:rsidR="00A34E9C" w:rsidRPr="000F1520" w:rsidRDefault="00AD31B8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с</w:t>
      </w:r>
      <w:r w:rsidR="007C3DBE">
        <w:rPr>
          <w:rFonts w:ascii="Times New Roman" w:hAnsi="Times New Roman"/>
          <w:i/>
          <w:sz w:val="24"/>
          <w:szCs w:val="24"/>
          <w:lang w:val="ru-RU"/>
        </w:rPr>
        <w:t xml:space="preserve">тарши експерт </w:t>
      </w:r>
      <w:r w:rsidR="00A34E9C" w:rsidRPr="000F1520">
        <w:rPr>
          <w:rFonts w:ascii="Times New Roman" w:hAnsi="Times New Roman"/>
          <w:i/>
          <w:sz w:val="24"/>
          <w:szCs w:val="24"/>
          <w:lang w:val="ru-RU"/>
        </w:rPr>
        <w:t>ПД</w:t>
      </w:r>
    </w:p>
    <w:sectPr w:rsidR="00A34E9C" w:rsidRPr="000F1520" w:rsidSect="00157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7D" w:rsidRDefault="00AD087D">
      <w:r>
        <w:separator/>
      </w:r>
    </w:p>
  </w:endnote>
  <w:endnote w:type="continuationSeparator" w:id="0">
    <w:p w:rsidR="00AD087D" w:rsidRDefault="00A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13A113A" wp14:editId="5BB3DE0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E5A557E" wp14:editId="0A8E822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9057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824525D" wp14:editId="447869B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9338F8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013FA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7D" w:rsidRDefault="00AD087D">
      <w:r>
        <w:separator/>
      </w:r>
    </w:p>
  </w:footnote>
  <w:footnote w:type="continuationSeparator" w:id="0">
    <w:p w:rsidR="00AD087D" w:rsidRDefault="00AD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17B71E5" wp14:editId="17CD198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597137" wp14:editId="2C5919A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470"/>
    <w:multiLevelType w:val="hybridMultilevel"/>
    <w:tmpl w:val="09A69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F814A7A"/>
    <w:multiLevelType w:val="hybridMultilevel"/>
    <w:tmpl w:val="E24654C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75BE5"/>
    <w:multiLevelType w:val="hybridMultilevel"/>
    <w:tmpl w:val="9BAEEDFA"/>
    <w:lvl w:ilvl="0" w:tplc="61AC65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18"/>
  </w:num>
  <w:num w:numId="13">
    <w:abstractNumId w:val="19"/>
  </w:num>
  <w:num w:numId="14">
    <w:abstractNumId w:val="17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3FA8"/>
    <w:rsid w:val="000201BD"/>
    <w:rsid w:val="00021173"/>
    <w:rsid w:val="00031726"/>
    <w:rsid w:val="000342B1"/>
    <w:rsid w:val="000370D9"/>
    <w:rsid w:val="00040AFB"/>
    <w:rsid w:val="000428DB"/>
    <w:rsid w:val="0004334C"/>
    <w:rsid w:val="000457E9"/>
    <w:rsid w:val="00051623"/>
    <w:rsid w:val="0005385E"/>
    <w:rsid w:val="00056AFD"/>
    <w:rsid w:val="00064BFD"/>
    <w:rsid w:val="00065B28"/>
    <w:rsid w:val="00066AA2"/>
    <w:rsid w:val="00070673"/>
    <w:rsid w:val="000754A7"/>
    <w:rsid w:val="0007606B"/>
    <w:rsid w:val="0008234C"/>
    <w:rsid w:val="000828AC"/>
    <w:rsid w:val="0009564B"/>
    <w:rsid w:val="00096AC7"/>
    <w:rsid w:val="000A64A0"/>
    <w:rsid w:val="000C0B78"/>
    <w:rsid w:val="000C2572"/>
    <w:rsid w:val="000C5A99"/>
    <w:rsid w:val="000D0994"/>
    <w:rsid w:val="000D29E6"/>
    <w:rsid w:val="000D3796"/>
    <w:rsid w:val="000E036C"/>
    <w:rsid w:val="000E5261"/>
    <w:rsid w:val="000F1520"/>
    <w:rsid w:val="000F50A4"/>
    <w:rsid w:val="001045E1"/>
    <w:rsid w:val="00104C7F"/>
    <w:rsid w:val="001073F0"/>
    <w:rsid w:val="00107E0A"/>
    <w:rsid w:val="00112888"/>
    <w:rsid w:val="00113B74"/>
    <w:rsid w:val="00116FF3"/>
    <w:rsid w:val="0011768D"/>
    <w:rsid w:val="0012105C"/>
    <w:rsid w:val="001229A6"/>
    <w:rsid w:val="0013007B"/>
    <w:rsid w:val="001336F5"/>
    <w:rsid w:val="00137B08"/>
    <w:rsid w:val="00142939"/>
    <w:rsid w:val="00142B7C"/>
    <w:rsid w:val="001458F4"/>
    <w:rsid w:val="001542DB"/>
    <w:rsid w:val="00156151"/>
    <w:rsid w:val="00157195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787"/>
    <w:rsid w:val="001933ED"/>
    <w:rsid w:val="00195F85"/>
    <w:rsid w:val="001A139A"/>
    <w:rsid w:val="001A2555"/>
    <w:rsid w:val="001B170D"/>
    <w:rsid w:val="001B4BA5"/>
    <w:rsid w:val="001B740D"/>
    <w:rsid w:val="001C5702"/>
    <w:rsid w:val="001C6903"/>
    <w:rsid w:val="001D003D"/>
    <w:rsid w:val="001D233B"/>
    <w:rsid w:val="001D24FF"/>
    <w:rsid w:val="001D30AD"/>
    <w:rsid w:val="001D45BB"/>
    <w:rsid w:val="001E10FE"/>
    <w:rsid w:val="001E2472"/>
    <w:rsid w:val="001E25CF"/>
    <w:rsid w:val="001E4E1A"/>
    <w:rsid w:val="001E55F5"/>
    <w:rsid w:val="001F4BFC"/>
    <w:rsid w:val="00202BA8"/>
    <w:rsid w:val="00203399"/>
    <w:rsid w:val="00203526"/>
    <w:rsid w:val="0020512A"/>
    <w:rsid w:val="00205929"/>
    <w:rsid w:val="0020653E"/>
    <w:rsid w:val="00214713"/>
    <w:rsid w:val="00217F5B"/>
    <w:rsid w:val="00221BF5"/>
    <w:rsid w:val="002273FE"/>
    <w:rsid w:val="0023125E"/>
    <w:rsid w:val="00233451"/>
    <w:rsid w:val="0023698D"/>
    <w:rsid w:val="0024120B"/>
    <w:rsid w:val="00251529"/>
    <w:rsid w:val="0025266E"/>
    <w:rsid w:val="00255F0B"/>
    <w:rsid w:val="002619AC"/>
    <w:rsid w:val="00263867"/>
    <w:rsid w:val="0026570C"/>
    <w:rsid w:val="002663AA"/>
    <w:rsid w:val="002663F7"/>
    <w:rsid w:val="00266D04"/>
    <w:rsid w:val="002760B3"/>
    <w:rsid w:val="00277751"/>
    <w:rsid w:val="002848DE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2FE8"/>
    <w:rsid w:val="0031305B"/>
    <w:rsid w:val="00324274"/>
    <w:rsid w:val="00335ECB"/>
    <w:rsid w:val="00340466"/>
    <w:rsid w:val="00340E47"/>
    <w:rsid w:val="00342688"/>
    <w:rsid w:val="00344640"/>
    <w:rsid w:val="00345075"/>
    <w:rsid w:val="00345CF3"/>
    <w:rsid w:val="003520A3"/>
    <w:rsid w:val="00352F4E"/>
    <w:rsid w:val="003568BF"/>
    <w:rsid w:val="00360F17"/>
    <w:rsid w:val="00362CB8"/>
    <w:rsid w:val="003729D2"/>
    <w:rsid w:val="00372A6C"/>
    <w:rsid w:val="00374C35"/>
    <w:rsid w:val="003932B9"/>
    <w:rsid w:val="0039645D"/>
    <w:rsid w:val="003A3E07"/>
    <w:rsid w:val="003A3EFE"/>
    <w:rsid w:val="003A4392"/>
    <w:rsid w:val="003A6C30"/>
    <w:rsid w:val="003B15A7"/>
    <w:rsid w:val="003C3EEF"/>
    <w:rsid w:val="003C53E8"/>
    <w:rsid w:val="003D34DE"/>
    <w:rsid w:val="003D64E0"/>
    <w:rsid w:val="003E588D"/>
    <w:rsid w:val="003E6027"/>
    <w:rsid w:val="003E76E3"/>
    <w:rsid w:val="003E7AD3"/>
    <w:rsid w:val="003E7F99"/>
    <w:rsid w:val="003E7FC8"/>
    <w:rsid w:val="003F370E"/>
    <w:rsid w:val="0040264E"/>
    <w:rsid w:val="0040427F"/>
    <w:rsid w:val="00407BDD"/>
    <w:rsid w:val="004137E6"/>
    <w:rsid w:val="004174F6"/>
    <w:rsid w:val="00431E35"/>
    <w:rsid w:val="004338B2"/>
    <w:rsid w:val="00440511"/>
    <w:rsid w:val="0044576D"/>
    <w:rsid w:val="00446795"/>
    <w:rsid w:val="00446FB7"/>
    <w:rsid w:val="00452220"/>
    <w:rsid w:val="0045755E"/>
    <w:rsid w:val="00464B6D"/>
    <w:rsid w:val="00477904"/>
    <w:rsid w:val="00483535"/>
    <w:rsid w:val="00484A3F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D4431"/>
    <w:rsid w:val="004E27EB"/>
    <w:rsid w:val="004E2A65"/>
    <w:rsid w:val="004E69D9"/>
    <w:rsid w:val="004F04D9"/>
    <w:rsid w:val="004F1B64"/>
    <w:rsid w:val="004F237B"/>
    <w:rsid w:val="004F262A"/>
    <w:rsid w:val="004F2E2E"/>
    <w:rsid w:val="004F54FE"/>
    <w:rsid w:val="004F765C"/>
    <w:rsid w:val="005007F3"/>
    <w:rsid w:val="005029B4"/>
    <w:rsid w:val="00504B7F"/>
    <w:rsid w:val="00514698"/>
    <w:rsid w:val="0051471E"/>
    <w:rsid w:val="00514F76"/>
    <w:rsid w:val="00516376"/>
    <w:rsid w:val="00524417"/>
    <w:rsid w:val="00524730"/>
    <w:rsid w:val="00531ECA"/>
    <w:rsid w:val="00536AC9"/>
    <w:rsid w:val="00544ED2"/>
    <w:rsid w:val="0054547E"/>
    <w:rsid w:val="00560146"/>
    <w:rsid w:val="0056203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5E08"/>
    <w:rsid w:val="005960D4"/>
    <w:rsid w:val="005A0F61"/>
    <w:rsid w:val="005A2999"/>
    <w:rsid w:val="005A3B17"/>
    <w:rsid w:val="005B014A"/>
    <w:rsid w:val="005B69F7"/>
    <w:rsid w:val="005B7F47"/>
    <w:rsid w:val="005C7222"/>
    <w:rsid w:val="005D2660"/>
    <w:rsid w:val="005D2B8A"/>
    <w:rsid w:val="005D3F16"/>
    <w:rsid w:val="005D7788"/>
    <w:rsid w:val="005E1A8B"/>
    <w:rsid w:val="005F14A0"/>
    <w:rsid w:val="005F34F9"/>
    <w:rsid w:val="005F6FBE"/>
    <w:rsid w:val="00601D2F"/>
    <w:rsid w:val="00602A0B"/>
    <w:rsid w:val="006039E5"/>
    <w:rsid w:val="00603B41"/>
    <w:rsid w:val="00611F20"/>
    <w:rsid w:val="00612441"/>
    <w:rsid w:val="006134DB"/>
    <w:rsid w:val="006171EB"/>
    <w:rsid w:val="00621293"/>
    <w:rsid w:val="00623427"/>
    <w:rsid w:val="00624465"/>
    <w:rsid w:val="0062489E"/>
    <w:rsid w:val="0062584C"/>
    <w:rsid w:val="006340C8"/>
    <w:rsid w:val="0064092B"/>
    <w:rsid w:val="0064168A"/>
    <w:rsid w:val="006430C9"/>
    <w:rsid w:val="00643C98"/>
    <w:rsid w:val="006477CD"/>
    <w:rsid w:val="00654471"/>
    <w:rsid w:val="00661546"/>
    <w:rsid w:val="00661C46"/>
    <w:rsid w:val="00665717"/>
    <w:rsid w:val="0067078F"/>
    <w:rsid w:val="006738F0"/>
    <w:rsid w:val="0068048A"/>
    <w:rsid w:val="006816CA"/>
    <w:rsid w:val="00683D20"/>
    <w:rsid w:val="0068539F"/>
    <w:rsid w:val="006867F6"/>
    <w:rsid w:val="00690B00"/>
    <w:rsid w:val="00696B3E"/>
    <w:rsid w:val="006A6644"/>
    <w:rsid w:val="006B0B9A"/>
    <w:rsid w:val="006B2084"/>
    <w:rsid w:val="006B25DC"/>
    <w:rsid w:val="006B3DB1"/>
    <w:rsid w:val="006C0732"/>
    <w:rsid w:val="006C38D7"/>
    <w:rsid w:val="006C439B"/>
    <w:rsid w:val="006C4F91"/>
    <w:rsid w:val="006D0536"/>
    <w:rsid w:val="006D21A3"/>
    <w:rsid w:val="006D51BA"/>
    <w:rsid w:val="006D534D"/>
    <w:rsid w:val="006E0673"/>
    <w:rsid w:val="006E1608"/>
    <w:rsid w:val="006F703A"/>
    <w:rsid w:val="00700780"/>
    <w:rsid w:val="007009B6"/>
    <w:rsid w:val="00701967"/>
    <w:rsid w:val="0072234E"/>
    <w:rsid w:val="00723618"/>
    <w:rsid w:val="0072559D"/>
    <w:rsid w:val="0073136B"/>
    <w:rsid w:val="00731CCD"/>
    <w:rsid w:val="00734FBA"/>
    <w:rsid w:val="00735898"/>
    <w:rsid w:val="007369C3"/>
    <w:rsid w:val="00740B63"/>
    <w:rsid w:val="00742897"/>
    <w:rsid w:val="0074472F"/>
    <w:rsid w:val="00745AC1"/>
    <w:rsid w:val="007520A7"/>
    <w:rsid w:val="00761E08"/>
    <w:rsid w:val="007719EF"/>
    <w:rsid w:val="00775E59"/>
    <w:rsid w:val="007844C0"/>
    <w:rsid w:val="007960C0"/>
    <w:rsid w:val="007A218E"/>
    <w:rsid w:val="007A23B0"/>
    <w:rsid w:val="007A4EAF"/>
    <w:rsid w:val="007A6290"/>
    <w:rsid w:val="007B55AA"/>
    <w:rsid w:val="007C3DBE"/>
    <w:rsid w:val="007C76E5"/>
    <w:rsid w:val="007D21EF"/>
    <w:rsid w:val="007D5D36"/>
    <w:rsid w:val="007E0265"/>
    <w:rsid w:val="007E21F8"/>
    <w:rsid w:val="007E6F63"/>
    <w:rsid w:val="007E7EE4"/>
    <w:rsid w:val="00801C37"/>
    <w:rsid w:val="00805CF6"/>
    <w:rsid w:val="00810508"/>
    <w:rsid w:val="0081336E"/>
    <w:rsid w:val="00833892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5AFB"/>
    <w:rsid w:val="00896B26"/>
    <w:rsid w:val="00897568"/>
    <w:rsid w:val="008A098F"/>
    <w:rsid w:val="008A2513"/>
    <w:rsid w:val="008A798C"/>
    <w:rsid w:val="008B0206"/>
    <w:rsid w:val="008B1300"/>
    <w:rsid w:val="008B1B25"/>
    <w:rsid w:val="008B3AF3"/>
    <w:rsid w:val="008B5027"/>
    <w:rsid w:val="008B7EAC"/>
    <w:rsid w:val="008C1670"/>
    <w:rsid w:val="008C1C39"/>
    <w:rsid w:val="008C20B5"/>
    <w:rsid w:val="008C48AD"/>
    <w:rsid w:val="008C5AAC"/>
    <w:rsid w:val="008D13EE"/>
    <w:rsid w:val="008D3A62"/>
    <w:rsid w:val="008D73F7"/>
    <w:rsid w:val="008F49B1"/>
    <w:rsid w:val="008F6562"/>
    <w:rsid w:val="009075D2"/>
    <w:rsid w:val="00910435"/>
    <w:rsid w:val="0091138C"/>
    <w:rsid w:val="009120D2"/>
    <w:rsid w:val="009136BC"/>
    <w:rsid w:val="0091538A"/>
    <w:rsid w:val="0091748F"/>
    <w:rsid w:val="009178C0"/>
    <w:rsid w:val="00925145"/>
    <w:rsid w:val="00926B16"/>
    <w:rsid w:val="00926F85"/>
    <w:rsid w:val="00931646"/>
    <w:rsid w:val="00932128"/>
    <w:rsid w:val="009338F8"/>
    <w:rsid w:val="00935902"/>
    <w:rsid w:val="00936425"/>
    <w:rsid w:val="009373B6"/>
    <w:rsid w:val="00937822"/>
    <w:rsid w:val="0094005A"/>
    <w:rsid w:val="00940941"/>
    <w:rsid w:val="00941282"/>
    <w:rsid w:val="00946775"/>
    <w:rsid w:val="00946D85"/>
    <w:rsid w:val="009601BB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2E51"/>
    <w:rsid w:val="009A32CC"/>
    <w:rsid w:val="009A49E5"/>
    <w:rsid w:val="009A674D"/>
    <w:rsid w:val="009C28A8"/>
    <w:rsid w:val="009C2CBF"/>
    <w:rsid w:val="009C6103"/>
    <w:rsid w:val="009C74A1"/>
    <w:rsid w:val="009C7D75"/>
    <w:rsid w:val="009D2E64"/>
    <w:rsid w:val="009D4048"/>
    <w:rsid w:val="009D79DB"/>
    <w:rsid w:val="009E0CF7"/>
    <w:rsid w:val="009E1EC2"/>
    <w:rsid w:val="009E24BD"/>
    <w:rsid w:val="009E6F5B"/>
    <w:rsid w:val="009E7D8E"/>
    <w:rsid w:val="009F0994"/>
    <w:rsid w:val="009F6B40"/>
    <w:rsid w:val="00A01F45"/>
    <w:rsid w:val="00A108D4"/>
    <w:rsid w:val="00A1320E"/>
    <w:rsid w:val="00A14F48"/>
    <w:rsid w:val="00A17642"/>
    <w:rsid w:val="00A2242E"/>
    <w:rsid w:val="00A31F08"/>
    <w:rsid w:val="00A334FE"/>
    <w:rsid w:val="00A34E9C"/>
    <w:rsid w:val="00A36479"/>
    <w:rsid w:val="00A403F2"/>
    <w:rsid w:val="00A41844"/>
    <w:rsid w:val="00A47A10"/>
    <w:rsid w:val="00A7028F"/>
    <w:rsid w:val="00A7322F"/>
    <w:rsid w:val="00A75474"/>
    <w:rsid w:val="00A83E8B"/>
    <w:rsid w:val="00A840A2"/>
    <w:rsid w:val="00A9435F"/>
    <w:rsid w:val="00AB5910"/>
    <w:rsid w:val="00AC0183"/>
    <w:rsid w:val="00AC035E"/>
    <w:rsid w:val="00AD0109"/>
    <w:rsid w:val="00AD087D"/>
    <w:rsid w:val="00AD13E8"/>
    <w:rsid w:val="00AD31B8"/>
    <w:rsid w:val="00AF095E"/>
    <w:rsid w:val="00AF3266"/>
    <w:rsid w:val="00AF7C2C"/>
    <w:rsid w:val="00B0048A"/>
    <w:rsid w:val="00B028BB"/>
    <w:rsid w:val="00B037C9"/>
    <w:rsid w:val="00B04394"/>
    <w:rsid w:val="00B060AE"/>
    <w:rsid w:val="00B12D59"/>
    <w:rsid w:val="00B15596"/>
    <w:rsid w:val="00B232A3"/>
    <w:rsid w:val="00B2389C"/>
    <w:rsid w:val="00B239ED"/>
    <w:rsid w:val="00B25EFC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776BB"/>
    <w:rsid w:val="00B80F1E"/>
    <w:rsid w:val="00B8189C"/>
    <w:rsid w:val="00B81DFD"/>
    <w:rsid w:val="00B84AD6"/>
    <w:rsid w:val="00BA1CB2"/>
    <w:rsid w:val="00BA344C"/>
    <w:rsid w:val="00BA622F"/>
    <w:rsid w:val="00BB2123"/>
    <w:rsid w:val="00BC7F7A"/>
    <w:rsid w:val="00BD4081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3009"/>
    <w:rsid w:val="00C1463F"/>
    <w:rsid w:val="00C20BFF"/>
    <w:rsid w:val="00C21FA8"/>
    <w:rsid w:val="00C22EFA"/>
    <w:rsid w:val="00C24E99"/>
    <w:rsid w:val="00C36910"/>
    <w:rsid w:val="00C37565"/>
    <w:rsid w:val="00C42492"/>
    <w:rsid w:val="00C44D75"/>
    <w:rsid w:val="00C473A4"/>
    <w:rsid w:val="00C51342"/>
    <w:rsid w:val="00C73DF1"/>
    <w:rsid w:val="00C76288"/>
    <w:rsid w:val="00C82901"/>
    <w:rsid w:val="00C8365A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284F"/>
    <w:rsid w:val="00CF70B8"/>
    <w:rsid w:val="00CF71B4"/>
    <w:rsid w:val="00D03B87"/>
    <w:rsid w:val="00D04363"/>
    <w:rsid w:val="00D07030"/>
    <w:rsid w:val="00D13937"/>
    <w:rsid w:val="00D14B6C"/>
    <w:rsid w:val="00D2049C"/>
    <w:rsid w:val="00D205FB"/>
    <w:rsid w:val="00D228BB"/>
    <w:rsid w:val="00D259F5"/>
    <w:rsid w:val="00D450FA"/>
    <w:rsid w:val="00D4763F"/>
    <w:rsid w:val="00D50456"/>
    <w:rsid w:val="00D52887"/>
    <w:rsid w:val="00D530CC"/>
    <w:rsid w:val="00D53A85"/>
    <w:rsid w:val="00D53E2D"/>
    <w:rsid w:val="00D54F88"/>
    <w:rsid w:val="00D61AE4"/>
    <w:rsid w:val="00D631FA"/>
    <w:rsid w:val="00D63A4C"/>
    <w:rsid w:val="00D678CA"/>
    <w:rsid w:val="00D67993"/>
    <w:rsid w:val="00D73335"/>
    <w:rsid w:val="00D74493"/>
    <w:rsid w:val="00D74676"/>
    <w:rsid w:val="00D7472F"/>
    <w:rsid w:val="00D74EBB"/>
    <w:rsid w:val="00D756AD"/>
    <w:rsid w:val="00D82658"/>
    <w:rsid w:val="00D827FC"/>
    <w:rsid w:val="00D865ED"/>
    <w:rsid w:val="00D95738"/>
    <w:rsid w:val="00D9698C"/>
    <w:rsid w:val="00DA2A75"/>
    <w:rsid w:val="00DA5CEE"/>
    <w:rsid w:val="00DB06B0"/>
    <w:rsid w:val="00DB1278"/>
    <w:rsid w:val="00DB1F7F"/>
    <w:rsid w:val="00DB772A"/>
    <w:rsid w:val="00DC2310"/>
    <w:rsid w:val="00DC2542"/>
    <w:rsid w:val="00DC4365"/>
    <w:rsid w:val="00DD0EF0"/>
    <w:rsid w:val="00DE0309"/>
    <w:rsid w:val="00DE388D"/>
    <w:rsid w:val="00DE432A"/>
    <w:rsid w:val="00DE56DD"/>
    <w:rsid w:val="00DE6D46"/>
    <w:rsid w:val="00DE6EC2"/>
    <w:rsid w:val="00DF5E3A"/>
    <w:rsid w:val="00DF6A09"/>
    <w:rsid w:val="00E10E55"/>
    <w:rsid w:val="00E1530E"/>
    <w:rsid w:val="00E15AB0"/>
    <w:rsid w:val="00E15B5B"/>
    <w:rsid w:val="00E15CCA"/>
    <w:rsid w:val="00E17B16"/>
    <w:rsid w:val="00E311E8"/>
    <w:rsid w:val="00E344E2"/>
    <w:rsid w:val="00E46C1A"/>
    <w:rsid w:val="00E5179C"/>
    <w:rsid w:val="00E55BCA"/>
    <w:rsid w:val="00E70982"/>
    <w:rsid w:val="00E70D80"/>
    <w:rsid w:val="00E72C95"/>
    <w:rsid w:val="00E7387B"/>
    <w:rsid w:val="00E74367"/>
    <w:rsid w:val="00E7682A"/>
    <w:rsid w:val="00E82945"/>
    <w:rsid w:val="00E844D0"/>
    <w:rsid w:val="00E90576"/>
    <w:rsid w:val="00EA3B1F"/>
    <w:rsid w:val="00EA3FA2"/>
    <w:rsid w:val="00EB63EB"/>
    <w:rsid w:val="00EC1E00"/>
    <w:rsid w:val="00EC29C2"/>
    <w:rsid w:val="00EC304D"/>
    <w:rsid w:val="00EC40E5"/>
    <w:rsid w:val="00EC570B"/>
    <w:rsid w:val="00ED1377"/>
    <w:rsid w:val="00ED1B17"/>
    <w:rsid w:val="00EE4B81"/>
    <w:rsid w:val="00EE59DE"/>
    <w:rsid w:val="00EE5AE9"/>
    <w:rsid w:val="00EF1CCE"/>
    <w:rsid w:val="00EF45C3"/>
    <w:rsid w:val="00EF4B50"/>
    <w:rsid w:val="00EF7B86"/>
    <w:rsid w:val="00F00C07"/>
    <w:rsid w:val="00F107B5"/>
    <w:rsid w:val="00F15AC8"/>
    <w:rsid w:val="00F15B2B"/>
    <w:rsid w:val="00F20A5D"/>
    <w:rsid w:val="00F236A7"/>
    <w:rsid w:val="00F276C9"/>
    <w:rsid w:val="00F3043C"/>
    <w:rsid w:val="00F363CE"/>
    <w:rsid w:val="00F42812"/>
    <w:rsid w:val="00F477AE"/>
    <w:rsid w:val="00F53010"/>
    <w:rsid w:val="00F57B57"/>
    <w:rsid w:val="00F57D2E"/>
    <w:rsid w:val="00F57EF9"/>
    <w:rsid w:val="00F66454"/>
    <w:rsid w:val="00F66DDA"/>
    <w:rsid w:val="00F72220"/>
    <w:rsid w:val="00F72CF1"/>
    <w:rsid w:val="00F75E92"/>
    <w:rsid w:val="00F767F4"/>
    <w:rsid w:val="00F80FD8"/>
    <w:rsid w:val="00F83046"/>
    <w:rsid w:val="00F85961"/>
    <w:rsid w:val="00F934E0"/>
    <w:rsid w:val="00F9384A"/>
    <w:rsid w:val="00F93AF8"/>
    <w:rsid w:val="00FA2004"/>
    <w:rsid w:val="00FA585A"/>
    <w:rsid w:val="00FA729A"/>
    <w:rsid w:val="00FB49C1"/>
    <w:rsid w:val="00FC3A0C"/>
    <w:rsid w:val="00FC43AE"/>
    <w:rsid w:val="00FE1775"/>
    <w:rsid w:val="00FE22D9"/>
    <w:rsid w:val="00FE3C47"/>
    <w:rsid w:val="00FF2160"/>
    <w:rsid w:val="00FF4A2D"/>
    <w:rsid w:val="00FF658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5F4C-6482-4B38-9639-BFF7F1B3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9773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78</cp:revision>
  <cp:lastPrinted>2024-07-15T06:42:00Z</cp:lastPrinted>
  <dcterms:created xsi:type="dcterms:W3CDTF">2024-07-11T11:35:00Z</dcterms:created>
  <dcterms:modified xsi:type="dcterms:W3CDTF">2024-08-27T06:52:00Z</dcterms:modified>
</cp:coreProperties>
</file>